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028" w:rsidRPr="00D60028" w:rsidRDefault="00D60028" w:rsidP="00D60028">
      <w:pPr>
        <w:spacing w:before="100" w:beforeAutospacing="1" w:after="100" w:afterAutospacing="1"/>
        <w:jc w:val="center"/>
        <w:outlineLvl w:val="1"/>
        <w:rPr>
          <w:rFonts w:ascii="Times New Roman" w:hAnsi="Times New Roman" w:cs="Times New Roman"/>
          <w:b/>
          <w:bCs/>
          <w:sz w:val="36"/>
          <w:szCs w:val="36"/>
        </w:rPr>
      </w:pPr>
      <w:proofErr w:type="spellStart"/>
      <w:r w:rsidRPr="00D60028">
        <w:rPr>
          <w:rFonts w:ascii="Times New Roman" w:hAnsi="Times New Roman" w:cs="Times New Roman"/>
          <w:b/>
          <w:bCs/>
          <w:sz w:val="36"/>
          <w:szCs w:val="36"/>
        </w:rPr>
        <w:t>Barroso</w:t>
      </w:r>
      <w:proofErr w:type="spellEnd"/>
      <w:r w:rsidRPr="00D60028">
        <w:rPr>
          <w:rFonts w:ascii="Times New Roman" w:hAnsi="Times New Roman" w:cs="Times New Roman"/>
          <w:b/>
          <w:bCs/>
          <w:sz w:val="36"/>
          <w:szCs w:val="36"/>
        </w:rPr>
        <w:t xml:space="preserve"> v. </w:t>
      </w:r>
      <w:proofErr w:type="spellStart"/>
      <w:r w:rsidRPr="00D60028">
        <w:rPr>
          <w:rFonts w:ascii="Times New Roman" w:hAnsi="Times New Roman" w:cs="Times New Roman"/>
          <w:b/>
          <w:bCs/>
          <w:sz w:val="36"/>
          <w:szCs w:val="36"/>
        </w:rPr>
        <w:t>Ocwen</w:t>
      </w:r>
      <w:proofErr w:type="spellEnd"/>
      <w:r w:rsidRPr="00D60028">
        <w:rPr>
          <w:rFonts w:ascii="Times New Roman" w:hAnsi="Times New Roman" w:cs="Times New Roman"/>
          <w:b/>
          <w:bCs/>
          <w:sz w:val="36"/>
          <w:szCs w:val="36"/>
        </w:rPr>
        <w:t xml:space="preserve"> Loan Servicing, LLC (2012</w:t>
      </w:r>
      <w:proofErr w:type="gramStart"/>
      <w:r w:rsidRPr="00D60028">
        <w:rPr>
          <w:rFonts w:ascii="Times New Roman" w:hAnsi="Times New Roman" w:cs="Times New Roman"/>
          <w:b/>
          <w:bCs/>
          <w:sz w:val="36"/>
          <w:szCs w:val="36"/>
        </w:rPr>
        <w:t>) ,</w:t>
      </w:r>
      <w:proofErr w:type="gramEnd"/>
      <w:r w:rsidRPr="00D60028">
        <w:rPr>
          <w:rFonts w:ascii="Times New Roman" w:hAnsi="Times New Roman" w:cs="Times New Roman"/>
          <w:b/>
          <w:bCs/>
          <w:sz w:val="36"/>
          <w:szCs w:val="36"/>
        </w:rPr>
        <w:t xml:space="preserve"> Cal.App.4th </w:t>
      </w:r>
    </w:p>
    <w:p w:rsidR="00D60028" w:rsidRPr="00D60028" w:rsidRDefault="00D60028" w:rsidP="00D60028">
      <w:pPr>
        <w:rPr>
          <w:rFonts w:ascii="Times New Roman" w:hAnsi="Times New Roman" w:cs="Times New Roman"/>
          <w:sz w:val="24"/>
          <w:szCs w:val="24"/>
        </w:rPr>
      </w:pPr>
      <w:proofErr w:type="gramStart"/>
      <w:r w:rsidRPr="00D60028">
        <w:rPr>
          <w:rFonts w:ascii="Times New Roman" w:hAnsi="Times New Roman" w:cs="Times New Roman"/>
          <w:sz w:val="24"/>
          <w:szCs w:val="24"/>
        </w:rPr>
        <w:t>[No.</w:t>
      </w:r>
      <w:proofErr w:type="gramEnd"/>
      <w:r w:rsidRPr="00D60028">
        <w:rPr>
          <w:rFonts w:ascii="Times New Roman" w:hAnsi="Times New Roman" w:cs="Times New Roman"/>
          <w:sz w:val="24"/>
          <w:szCs w:val="24"/>
        </w:rPr>
        <w:t xml:space="preserve"> B229112. </w:t>
      </w:r>
      <w:proofErr w:type="gramStart"/>
      <w:r w:rsidRPr="00D60028">
        <w:rPr>
          <w:rFonts w:ascii="Times New Roman" w:hAnsi="Times New Roman" w:cs="Times New Roman"/>
          <w:sz w:val="24"/>
          <w:szCs w:val="24"/>
        </w:rPr>
        <w:t>Second Dist., Div. Four.</w:t>
      </w:r>
      <w:proofErr w:type="gramEnd"/>
      <w:r w:rsidRPr="00D60028">
        <w:rPr>
          <w:rFonts w:ascii="Times New Roman" w:hAnsi="Times New Roman" w:cs="Times New Roman"/>
          <w:sz w:val="24"/>
          <w:szCs w:val="24"/>
        </w:rPr>
        <w:t xml:space="preserve"> Aug. 21, 2012.]</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DIVINIA ABIGAIL BARROSO, Plaintiff and Appellant, v. OCWEN LOAN SERVICING, LLC et al., Defendants and Respondents.</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gramStart"/>
      <w:r w:rsidRPr="00D60028">
        <w:rPr>
          <w:rFonts w:ascii="Times New Roman" w:hAnsi="Times New Roman" w:cs="Times New Roman"/>
          <w:sz w:val="24"/>
          <w:szCs w:val="24"/>
        </w:rPr>
        <w:t>(Superior Court of Los Angeles County, No.</w:t>
      </w:r>
      <w:proofErr w:type="gramEnd"/>
      <w:r w:rsidRPr="00D60028">
        <w:rPr>
          <w:rFonts w:ascii="Times New Roman" w:hAnsi="Times New Roman" w:cs="Times New Roman"/>
          <w:sz w:val="24"/>
          <w:szCs w:val="24"/>
        </w:rPr>
        <w:t xml:space="preserve"> VC056571, Yvonne T. Sanchez, Judge.)</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(Opinion by Epstein, P.J., with </w:t>
      </w:r>
      <w:proofErr w:type="spellStart"/>
      <w:r w:rsidRPr="00D60028">
        <w:rPr>
          <w:rFonts w:ascii="Times New Roman" w:hAnsi="Times New Roman" w:cs="Times New Roman"/>
          <w:sz w:val="24"/>
          <w:szCs w:val="24"/>
        </w:rPr>
        <w:t>Manella</w:t>
      </w:r>
      <w:proofErr w:type="spellEnd"/>
      <w:r w:rsidRPr="00D60028">
        <w:rPr>
          <w:rFonts w:ascii="Times New Roman" w:hAnsi="Times New Roman" w:cs="Times New Roman"/>
          <w:sz w:val="24"/>
          <w:szCs w:val="24"/>
        </w:rPr>
        <w:t xml:space="preserve">, J., and </w:t>
      </w:r>
      <w:proofErr w:type="spellStart"/>
      <w:r w:rsidRPr="00D60028">
        <w:rPr>
          <w:rFonts w:ascii="Times New Roman" w:hAnsi="Times New Roman" w:cs="Times New Roman"/>
          <w:sz w:val="24"/>
          <w:szCs w:val="24"/>
        </w:rPr>
        <w:t>Suzukawa</w:t>
      </w:r>
      <w:proofErr w:type="spellEnd"/>
      <w:r w:rsidRPr="00D60028">
        <w:rPr>
          <w:rFonts w:ascii="Times New Roman" w:hAnsi="Times New Roman" w:cs="Times New Roman"/>
          <w:sz w:val="24"/>
          <w:szCs w:val="24"/>
        </w:rPr>
        <w:t xml:space="preserve">, J., </w:t>
      </w:r>
      <w:proofErr w:type="gramStart"/>
      <w:r w:rsidRPr="00D60028">
        <w:rPr>
          <w:rFonts w:ascii="Times New Roman" w:hAnsi="Times New Roman" w:cs="Times New Roman"/>
          <w:sz w:val="24"/>
          <w:szCs w:val="24"/>
        </w:rPr>
        <w:t>concurring.)</w:t>
      </w:r>
      <w:proofErr w:type="gramEnd"/>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b/>
          <w:bCs/>
          <w:sz w:val="24"/>
          <w:szCs w:val="24"/>
        </w:rPr>
        <w:t>COUNSEL</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gramStart"/>
      <w:r w:rsidRPr="00D60028">
        <w:rPr>
          <w:rFonts w:ascii="Times New Roman" w:hAnsi="Times New Roman" w:cs="Times New Roman"/>
          <w:sz w:val="24"/>
          <w:szCs w:val="24"/>
        </w:rPr>
        <w:t xml:space="preserve">Neighborhood Legal Services of Los Angeles County, Nu Usaha, Antonio Hicks, </w:t>
      </w:r>
      <w:proofErr w:type="spellStart"/>
      <w:r w:rsidRPr="00D60028">
        <w:rPr>
          <w:rFonts w:ascii="Times New Roman" w:hAnsi="Times New Roman" w:cs="Times New Roman"/>
          <w:sz w:val="24"/>
          <w:szCs w:val="24"/>
        </w:rPr>
        <w:t>Lorden</w:t>
      </w:r>
      <w:proofErr w:type="spellEnd"/>
      <w:r w:rsidRPr="00D60028">
        <w:rPr>
          <w:rFonts w:ascii="Times New Roman" w:hAnsi="Times New Roman" w:cs="Times New Roman"/>
          <w:sz w:val="24"/>
          <w:szCs w:val="24"/>
        </w:rPr>
        <w:t xml:space="preserve"> &amp; Reed, and </w:t>
      </w:r>
      <w:proofErr w:type="spellStart"/>
      <w:r w:rsidRPr="00D60028">
        <w:rPr>
          <w:rFonts w:ascii="Times New Roman" w:hAnsi="Times New Roman" w:cs="Times New Roman"/>
          <w:sz w:val="24"/>
          <w:szCs w:val="24"/>
        </w:rPr>
        <w:t>Zshonette</w:t>
      </w:r>
      <w:proofErr w:type="spellEnd"/>
      <w:r w:rsidRPr="00D60028">
        <w:rPr>
          <w:rFonts w:ascii="Times New Roman" w:hAnsi="Times New Roman" w:cs="Times New Roman"/>
          <w:sz w:val="24"/>
          <w:szCs w:val="24"/>
        </w:rPr>
        <w:t xml:space="preserve"> L. Reed for Plaintiff and Appellant.</w:t>
      </w:r>
      <w:proofErr w:type="gramEnd"/>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Houser &amp; Allison, Eric D. Houser, Robert W. Norman, Jr., Steve W. </w:t>
      </w:r>
      <w:proofErr w:type="spellStart"/>
      <w:r w:rsidRPr="00D60028">
        <w:rPr>
          <w:rFonts w:ascii="Times New Roman" w:hAnsi="Times New Roman" w:cs="Times New Roman"/>
          <w:sz w:val="24"/>
          <w:szCs w:val="24"/>
        </w:rPr>
        <w:t>Pornbida</w:t>
      </w:r>
      <w:proofErr w:type="spellEnd"/>
      <w:r w:rsidRPr="00D60028">
        <w:rPr>
          <w:rFonts w:ascii="Times New Roman" w:hAnsi="Times New Roman" w:cs="Times New Roman"/>
          <w:sz w:val="24"/>
          <w:szCs w:val="24"/>
        </w:rPr>
        <w:t>, and Brian Wagner for Defendants and Respondents.</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Kent </w:t>
      </w:r>
      <w:proofErr w:type="spellStart"/>
      <w:r w:rsidRPr="00D60028">
        <w:rPr>
          <w:rFonts w:ascii="Times New Roman" w:hAnsi="Times New Roman" w:cs="Times New Roman"/>
          <w:sz w:val="24"/>
          <w:szCs w:val="24"/>
        </w:rPr>
        <w:t>Qian</w:t>
      </w:r>
      <w:proofErr w:type="spellEnd"/>
      <w:r w:rsidRPr="00D60028">
        <w:rPr>
          <w:rFonts w:ascii="Times New Roman" w:hAnsi="Times New Roman" w:cs="Times New Roman"/>
          <w:sz w:val="24"/>
          <w:szCs w:val="24"/>
        </w:rPr>
        <w:t xml:space="preserve"> for National Housing Law Project, Elizabeth Letcher for Housing and Economic Rights Advocates, Mercer Legal and Eric Andrew Mercer for National Housing Law Project, Housing and Economic Rights Advocates, Law Foundation of Silicon Valley, California Reinvestment Coalition, and Eric Mercer as Amici Curiae on behalf of Plaintiff and Appellant. </w:t>
      </w:r>
      <w:proofErr w:type="gramStart"/>
      <w:r w:rsidRPr="00D60028">
        <w:rPr>
          <w:rFonts w:ascii="Times New Roman" w:hAnsi="Times New Roman" w:cs="Times New Roman"/>
          <w:sz w:val="24"/>
          <w:szCs w:val="24"/>
        </w:rPr>
        <w:t xml:space="preserve">{Slip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Page 2}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b/>
          <w:bCs/>
          <w:sz w:val="24"/>
          <w:szCs w:val="24"/>
        </w:rPr>
        <w:t>OPINION</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gramStart"/>
      <w:r w:rsidRPr="00D60028">
        <w:rPr>
          <w:rFonts w:ascii="Times New Roman" w:hAnsi="Times New Roman" w:cs="Times New Roman"/>
          <w:b/>
          <w:bCs/>
          <w:sz w:val="24"/>
          <w:szCs w:val="24"/>
        </w:rPr>
        <w:t>EPSTEIN, P.J.-</w:t>
      </w:r>
      <w:proofErr w:type="gramEnd"/>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Divinia</w:t>
      </w:r>
      <w:proofErr w:type="spellEnd"/>
      <w:r w:rsidRPr="00D60028">
        <w:rPr>
          <w:rFonts w:ascii="Times New Roman" w:hAnsi="Times New Roman" w:cs="Times New Roman"/>
          <w:sz w:val="24"/>
          <w:szCs w:val="24"/>
        </w:rPr>
        <w:t xml:space="preserve">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challenges the trial court order sustaining a demurrer, without leave to amend, to her complaint arising from the failed loan modification and eventual foreclosure sale of her home. We conclude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alleged formation of a valid contract to modify her loan documents. She did not allege compliance with the conditions for a revised loan modification offered to her later. We reverse the trial court's order as to the breach of contract cause of action because it sufficiently alleged breach of the modification agreement. For the same reason,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should be permitted to allege a cause of action for breach of the covenant of good faith and fair dealing based on breach of the modification agreement. In addition, we conclude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should be allowed to amend the complaint to allege a cause of action for common law wrongful foreclosure based on the valid modification agreement. </w:t>
      </w:r>
    </w:p>
    <w:p w:rsidR="00D60028" w:rsidRPr="00D60028" w:rsidRDefault="00D60028" w:rsidP="00D60028">
      <w:pPr>
        <w:jc w:val="center"/>
        <w:rPr>
          <w:rFonts w:ascii="Times New Roman" w:hAnsi="Times New Roman" w:cs="Times New Roman"/>
          <w:sz w:val="24"/>
          <w:szCs w:val="24"/>
        </w:rPr>
      </w:pPr>
      <w:r w:rsidRPr="00D60028">
        <w:rPr>
          <w:rFonts w:ascii="Times New Roman" w:hAnsi="Times New Roman" w:cs="Times New Roman"/>
          <w:b/>
          <w:bCs/>
          <w:sz w:val="24"/>
          <w:szCs w:val="24"/>
        </w:rPr>
        <w:t>FACTUAL AND PROCEDURAL SUMMARY</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In reviewing an order sustaining a demurrer, we assume the factual allegations pleaded to be true and examine the complaint de novo to determine whether it alleges facts sufficient to state a cause of action under any legal theory.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 xml:space="preserve">Committee for Green Foothills v. Santa Clara County </w:t>
      </w:r>
      <w:r w:rsidRPr="00D60028">
        <w:rPr>
          <w:rFonts w:ascii="Times New Roman" w:hAnsi="Times New Roman" w:cs="Times New Roman"/>
          <w:i/>
          <w:iCs/>
          <w:sz w:val="24"/>
          <w:szCs w:val="24"/>
        </w:rPr>
        <w:lastRenderedPageBreak/>
        <w:t xml:space="preserve">Bd. of Supervisors </w:t>
      </w:r>
      <w:r w:rsidRPr="00D60028">
        <w:rPr>
          <w:rFonts w:ascii="Times New Roman" w:hAnsi="Times New Roman" w:cs="Times New Roman"/>
          <w:sz w:val="24"/>
          <w:szCs w:val="24"/>
        </w:rPr>
        <w:t xml:space="preserve">(2010) </w:t>
      </w:r>
      <w:hyperlink r:id="rId5" w:history="1">
        <w:r w:rsidRPr="00D60028">
          <w:rPr>
            <w:rFonts w:ascii="Times New Roman" w:hAnsi="Times New Roman" w:cs="Times New Roman"/>
            <w:color w:val="0000FF"/>
            <w:sz w:val="24"/>
            <w:szCs w:val="24"/>
            <w:u w:val="single"/>
          </w:rPr>
          <w:t>48 Cal.4th 32</w:t>
        </w:r>
      </w:hyperlink>
      <w:r w:rsidRPr="00D60028">
        <w:rPr>
          <w:rFonts w:ascii="Times New Roman" w:hAnsi="Times New Roman" w:cs="Times New Roman"/>
          <w:sz w:val="24"/>
          <w:szCs w:val="24"/>
        </w:rPr>
        <w:t>, 42.)</w:t>
      </w:r>
      <w:proofErr w:type="gramEnd"/>
      <w:r w:rsidRPr="00D60028">
        <w:rPr>
          <w:rFonts w:ascii="Times New Roman" w:hAnsi="Times New Roman" w:cs="Times New Roman"/>
          <w:sz w:val="24"/>
          <w:szCs w:val="24"/>
        </w:rPr>
        <w:t xml:space="preserve"> The following facts are alleged or are cognizable by judicial notice.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purchased a single family dwelling on </w:t>
      </w:r>
      <w:proofErr w:type="spellStart"/>
      <w:r w:rsidRPr="00D60028">
        <w:rPr>
          <w:rFonts w:ascii="Times New Roman" w:hAnsi="Times New Roman" w:cs="Times New Roman"/>
          <w:sz w:val="24"/>
          <w:szCs w:val="24"/>
        </w:rPr>
        <w:t>Mallison</w:t>
      </w:r>
      <w:proofErr w:type="spellEnd"/>
      <w:r w:rsidRPr="00D60028">
        <w:rPr>
          <w:rFonts w:ascii="Times New Roman" w:hAnsi="Times New Roman" w:cs="Times New Roman"/>
          <w:sz w:val="24"/>
          <w:szCs w:val="24"/>
        </w:rPr>
        <w:t xml:space="preserve"> Avenue in South Gate in 2005. As part of the purchase, she executed a promissory note secured by a deed of trust in the amount of $372,000 (the loan documents). On information and belief,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Loan Servicing, LLC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acquired the servicing rights to the original loan. In 2008,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encountered financial difficulties and was unable to make timely monthly mortgage payments.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began foreclosure proceedings on the property by recording a notice of default in January 2009 and a notice of trustee sale on April 16, 2009.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In response,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began to negotiate for a loan modification. In June 2009, she was notified by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that she was eligible for benefits under the federal government {Slip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 xml:space="preserve">. Page 3} Home Affordable Modification Program (HAMP) </w:t>
      </w:r>
      <w:bookmarkStart w:id="0" w:name="A0001"/>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"B0001" </w:instrText>
      </w:r>
      <w:r w:rsidRPr="00D60028">
        <w:rPr>
          <w:rFonts w:ascii="Times New Roman" w:hAnsi="Times New Roman" w:cs="Times New Roman"/>
          <w:sz w:val="24"/>
          <w:szCs w:val="24"/>
        </w:rPr>
        <w:fldChar w:fldCharType="separate"/>
      </w:r>
      <w:r w:rsidRPr="00D60028">
        <w:rPr>
          <w:rFonts w:ascii="Times New Roman" w:hAnsi="Times New Roman" w:cs="Times New Roman"/>
          <w:color w:val="0000FF"/>
          <w:sz w:val="24"/>
          <w:szCs w:val="24"/>
          <w:u w:val="single"/>
        </w:rPr>
        <w:t>fn. 1</w:t>
      </w:r>
      <w:r w:rsidRPr="00D60028">
        <w:rPr>
          <w:rFonts w:ascii="Times New Roman" w:hAnsi="Times New Roman" w:cs="Times New Roman"/>
          <w:sz w:val="24"/>
          <w:szCs w:val="24"/>
        </w:rPr>
        <w:fldChar w:fldCharType="end"/>
      </w:r>
      <w:bookmarkEnd w:id="0"/>
      <w:r w:rsidRPr="00D60028">
        <w:rPr>
          <w:rFonts w:ascii="Times New Roman" w:hAnsi="Times New Roman" w:cs="Times New Roman"/>
          <w:sz w:val="24"/>
          <w:szCs w:val="24"/>
        </w:rPr>
        <w:t xml:space="preserve"> . She alleges the notice informed her: "If you comply with the terms of the Home Affordable Trial Period Plan and the Modification Agreement, we will modify your mortgage loan and waive all prior late charges that remain unpaid."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claims a copy of this letter was incorporated by reference to the complaint as exhibit </w:t>
      </w:r>
      <w:proofErr w:type="gramStart"/>
      <w:r w:rsidRPr="00D60028">
        <w:rPr>
          <w:rFonts w:ascii="Times New Roman" w:hAnsi="Times New Roman" w:cs="Times New Roman"/>
          <w:sz w:val="24"/>
          <w:szCs w:val="24"/>
        </w:rPr>
        <w:t>A</w:t>
      </w:r>
      <w:proofErr w:type="gramEnd"/>
      <w:r w:rsidRPr="00D60028">
        <w:rPr>
          <w:rFonts w:ascii="Times New Roman" w:hAnsi="Times New Roman" w:cs="Times New Roman"/>
          <w:sz w:val="24"/>
          <w:szCs w:val="24"/>
        </w:rPr>
        <w:t xml:space="preserve">, but that letter is dated October 20, 2009, as we discuss below. She alleges that enclosed with this letter from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were a "Home Affordable Modification Trial Period Plan (Step One of Two-Step Documentation Process)" which she refers to as the "Trial Period Plan," and a "Home Affordable Modification Agreement (Step Two of Two-Step Documentation Process)," which she refers to as the "Modification Agreement." The complaint incorporated these documents by reference. According to the complaint,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was to make payments of $1,301.60 on the first of the month in July, August, and September 2009 under the Trial Period Plan. Under the Modification Agreement, she would make monthly payments of $1,301.60 beginning on October 1, 2009 and thereafter, with increases in the payment scheduled for October 2014.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that she signed the Trial Period Plan and the Modification Agreement on July 3, 2009, and submitted both to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with the July 1, 2009 payment of $1,301.60. She further alleges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acknowledged receipt of that payment.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"The original signed agreements are in the possession of Defendant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She made the monthly payments when due under the Modification Agreement from August through November 2009. </w:t>
      </w:r>
      <w:proofErr w:type="gramStart"/>
      <w:r w:rsidRPr="00D60028">
        <w:rPr>
          <w:rFonts w:ascii="Times New Roman" w:hAnsi="Times New Roman" w:cs="Times New Roman"/>
          <w:sz w:val="24"/>
          <w:szCs w:val="24"/>
        </w:rPr>
        <w:t xml:space="preserve">{Slip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Page 4}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After November 2009,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believed she was making payments under a revised modification agreement. She states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sent her a revised Home Affordable Modification Agreement (Step Two of Two-Step Documentation Process) (Revised Modification Agreement) in December 2009, reducing the monthly mortgage payments to $1,294.85 effective October 1, 2009. It stated that if all of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representations remained true and all preconditions to the modification were met, the loan documents would automatically be modified on October 1, 2009 and all unpaid late charges would be waived. The complaint does not explain why this modification was sent to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two months after its effective date. She alleges that the October 2009 payment already had been made and receipt acknowledged by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that she signed the Revised Modification Agreement on December 11, 2009, and submitted it to </w:t>
      </w:r>
      <w:proofErr w:type="spellStart"/>
      <w:r w:rsidRPr="00D60028">
        <w:rPr>
          <w:rFonts w:ascii="Times New Roman" w:hAnsi="Times New Roman" w:cs="Times New Roman"/>
          <w:sz w:val="24"/>
          <w:szCs w:val="24"/>
        </w:rPr>
        <w:lastRenderedPageBreak/>
        <w:t>Ocwen</w:t>
      </w:r>
      <w:proofErr w:type="spellEnd"/>
      <w:r w:rsidRPr="00D60028">
        <w:rPr>
          <w:rFonts w:ascii="Times New Roman" w:hAnsi="Times New Roman" w:cs="Times New Roman"/>
          <w:sz w:val="24"/>
          <w:szCs w:val="24"/>
        </w:rPr>
        <w:t xml:space="preserve"> with a payment of $1,300. She alleged that the original signed Revised Modification Agreement was in the possession of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made monthly payments of $1,300 from January through April 2010, as acknowledged by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she first learned something was wrong on May 7, 2010, when she received a notice to quit from an attorney acting on behalf of defendant U.S. Bank, described in the complaint as trustee for the registered holders of asset-backed certificates, series 2006. She contacted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and learned that the property had been auctioned at a foreclosure sale in April 2010. There were no bidders and the property reverted to the beneficiary, whom she alleges to be defendant U.S. Bank. In June 2010,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returned the April 2010 payment made by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for the stated reason that the payment was not sufficient to satisfy the defaulted amount and no alternative payment arrangements had been made. She was directed to contact her home retention specialist immediately to avoid a foreclosure sale (which in fact already had taken place).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that this letter was false because she had accepted three alternative payment agreements, the Trial Period Plan, the Modification Agreement, and the Revised Modification Agreement. The complaint alleges that the Trial Period Plan was fully performed and that the other two agreements were "partially performed". </w:t>
      </w:r>
      <w:proofErr w:type="gramStart"/>
      <w:r w:rsidRPr="00D60028">
        <w:rPr>
          <w:rFonts w:ascii="Times New Roman" w:hAnsi="Times New Roman" w:cs="Times New Roman"/>
          <w:sz w:val="24"/>
          <w:szCs w:val="24"/>
        </w:rPr>
        <w:t xml:space="preserve">{Slip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Page 5}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The complaint alleges a cause of action for breach of the Trial Period Plan, the Modification Agreement, and the Revised Modification Agreement, alleging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had performed each act required under these agreements, including making all payments when due. Despite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full performance, she alleges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breached the agreements by failing to honor their terms, wrongly proceeding to foreclosure sale, and wrongfully selling the property to the trustee without offering her an alternative to avoid foreclosure.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The second cause of action against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is for specific performance of the Revised Modification Agreement. The third cause of action against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is for wrongful foreclosure, alleging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was not in default under the terms of the Revised Modification Agreement. The fourth cause of action is against defendant U.S. Bank for cancellation of the deed on the trustee's sale. The fifth cause of action, also against U.S. Bank, is to enjoin the eviction of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and her family from the property.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unsuccessfully sought a temporary restraining order and preliminary injunction to halt the unlawful detainer action.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and U.S. Bank (collectively defendants) demurred to the complaint on the ground that each of the causes of action failed to state facts sufficient to constitute a cause of action. (Code Civ. Proc., § 430.10, </w:t>
      </w:r>
      <w:proofErr w:type="spellStart"/>
      <w:r w:rsidRPr="00D60028">
        <w:rPr>
          <w:rFonts w:ascii="Times New Roman" w:hAnsi="Times New Roman" w:cs="Times New Roman"/>
          <w:sz w:val="24"/>
          <w:szCs w:val="24"/>
        </w:rPr>
        <w:t>subd</w:t>
      </w:r>
      <w:proofErr w:type="spellEnd"/>
      <w:r w:rsidRPr="00D60028">
        <w:rPr>
          <w:rFonts w:ascii="Times New Roman" w:hAnsi="Times New Roman" w:cs="Times New Roman"/>
          <w:sz w:val="24"/>
          <w:szCs w:val="24"/>
        </w:rPr>
        <w:t xml:space="preserve">. (e).) </w:t>
      </w:r>
      <w:proofErr w:type="gramStart"/>
      <w:r w:rsidRPr="00D60028">
        <w:rPr>
          <w:rFonts w:ascii="Times New Roman" w:hAnsi="Times New Roman" w:cs="Times New Roman"/>
          <w:sz w:val="24"/>
          <w:szCs w:val="24"/>
        </w:rPr>
        <w:t>They</w:t>
      </w:r>
      <w:proofErr w:type="gramEnd"/>
      <w:r w:rsidRPr="00D60028">
        <w:rPr>
          <w:rFonts w:ascii="Times New Roman" w:hAnsi="Times New Roman" w:cs="Times New Roman"/>
          <w:sz w:val="24"/>
          <w:szCs w:val="24"/>
        </w:rPr>
        <w:t xml:space="preserve"> contended that the loan modification process was not completed due to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ineligibility and that they never agreed to modify the terms of her existing mortgage or to cancel the pending foreclosure sale. The demurrer includes a factual summary based on documents which the trial court judicially noticed. We granted defendants' request to take judicial notice of these documents on appeal.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Defendants argued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failed to allege receipt of a fully executed loan modification agreement signifying the satisfaction of all conditions precedent, and therefore there was no loan modification agreement. They also contended that specific performance is not an independent cause of action, but instead is an equitable remedy for {Slip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Page 6} breach of contract.</w:t>
      </w:r>
      <w:proofErr w:type="gramEnd"/>
      <w:r w:rsidRPr="00D60028">
        <w:rPr>
          <w:rFonts w:ascii="Times New Roman" w:hAnsi="Times New Roman" w:cs="Times New Roman"/>
          <w:sz w:val="24"/>
          <w:szCs w:val="24"/>
        </w:rPr>
        <w:t xml:space="preserve"> </w:t>
      </w:r>
      <w:bookmarkStart w:id="1" w:name="A0002"/>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"B0002" </w:instrText>
      </w:r>
      <w:r w:rsidRPr="00D60028">
        <w:rPr>
          <w:rFonts w:ascii="Times New Roman" w:hAnsi="Times New Roman" w:cs="Times New Roman"/>
          <w:sz w:val="24"/>
          <w:szCs w:val="24"/>
        </w:rPr>
        <w:fldChar w:fldCharType="separate"/>
      </w:r>
      <w:r w:rsidRPr="00D60028">
        <w:rPr>
          <w:rFonts w:ascii="Times New Roman" w:hAnsi="Times New Roman" w:cs="Times New Roman"/>
          <w:color w:val="0000FF"/>
          <w:sz w:val="24"/>
          <w:szCs w:val="24"/>
          <w:u w:val="single"/>
        </w:rPr>
        <w:t>fn. 2</w:t>
      </w:r>
      <w:r w:rsidRPr="00D60028">
        <w:rPr>
          <w:rFonts w:ascii="Times New Roman" w:hAnsi="Times New Roman" w:cs="Times New Roman"/>
          <w:sz w:val="24"/>
          <w:szCs w:val="24"/>
        </w:rPr>
        <w:fldChar w:fldCharType="end"/>
      </w:r>
      <w:bookmarkEnd w:id="1"/>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They</w:t>
      </w:r>
      <w:proofErr w:type="gramEnd"/>
      <w:r w:rsidRPr="00D60028">
        <w:rPr>
          <w:rFonts w:ascii="Times New Roman" w:hAnsi="Times New Roman" w:cs="Times New Roman"/>
          <w:sz w:val="24"/>
          <w:szCs w:val="24"/>
        </w:rPr>
        <w:t xml:space="preserve"> also argued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failed to allege sufficient facts to demonstrate that the </w:t>
      </w:r>
      <w:r w:rsidRPr="00D60028">
        <w:rPr>
          <w:rFonts w:ascii="Times New Roman" w:hAnsi="Times New Roman" w:cs="Times New Roman"/>
          <w:sz w:val="24"/>
          <w:szCs w:val="24"/>
        </w:rPr>
        <w:lastRenderedPageBreak/>
        <w:t xml:space="preserve">foreclosure was unlawful or any other basis for cancellation of the trustee's deed, including a failure to allege tender of the amounts due under the mortgage. Finally, defendants contended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had failed to allege a basis for injunctive relief. In her opposition,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argued that she had alleged that she signed and returned the agreement,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had the fully executed original contracts in its possession, and that the language requiring </w:t>
      </w:r>
      <w:proofErr w:type="spellStart"/>
      <w:r w:rsidRPr="00D60028">
        <w:rPr>
          <w:rFonts w:ascii="Times New Roman" w:hAnsi="Times New Roman" w:cs="Times New Roman"/>
          <w:sz w:val="24"/>
          <w:szCs w:val="24"/>
        </w:rPr>
        <w:t>Ocwen's</w:t>
      </w:r>
      <w:proofErr w:type="spellEnd"/>
      <w:r w:rsidRPr="00D60028">
        <w:rPr>
          <w:rFonts w:ascii="Times New Roman" w:hAnsi="Times New Roman" w:cs="Times New Roman"/>
          <w:sz w:val="24"/>
          <w:szCs w:val="24"/>
        </w:rPr>
        <w:t xml:space="preserve"> signature was a condition subsequent and did not defeat the validity of the contract.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The trial court sustained the demurrer without leave to amend. It found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allegations were contradicted by the exhibits attached to the complaint which stated that the loan documents would not be modified unless and until the borrower received a copy of the agreement signed by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The trial court concluded that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breach of contract cause of action failed on this ground and that the specific performance cause of action, which is derivative of the cause of action for breach of contract, failed for the same reason. The court found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had not alleged a violation of the foreclosure statutes or any other basis for setting aside the sale or canceling the deed. The court concluded that leave to amend should be denied because it was not probable from the nature of the complaint, and the previous unsuccessful attempt to plead, that plaintiff could state a cause of action. The court denied leave to amend on that basis.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filed her notice of appeal from this order on November 19, 2010. We issued an order to show </w:t>
      </w:r>
      <w:proofErr w:type="gramStart"/>
      <w:r w:rsidRPr="00D60028">
        <w:rPr>
          <w:rFonts w:ascii="Times New Roman" w:hAnsi="Times New Roman" w:cs="Times New Roman"/>
          <w:sz w:val="24"/>
          <w:szCs w:val="24"/>
        </w:rPr>
        <w:t>cause</w:t>
      </w:r>
      <w:proofErr w:type="gramEnd"/>
      <w:r w:rsidRPr="00D60028">
        <w:rPr>
          <w:rFonts w:ascii="Times New Roman" w:hAnsi="Times New Roman" w:cs="Times New Roman"/>
          <w:sz w:val="24"/>
          <w:szCs w:val="24"/>
        </w:rPr>
        <w:t xml:space="preserve"> why the appeal should not be dismissed as being taken from the order sustaining the demurrer, which is a </w:t>
      </w:r>
      <w:proofErr w:type="spellStart"/>
      <w:r w:rsidRPr="00D60028">
        <w:rPr>
          <w:rFonts w:ascii="Times New Roman" w:hAnsi="Times New Roman" w:cs="Times New Roman"/>
          <w:sz w:val="24"/>
          <w:szCs w:val="24"/>
        </w:rPr>
        <w:t>nonappealable</w:t>
      </w:r>
      <w:proofErr w:type="spellEnd"/>
      <w:r w:rsidRPr="00D60028">
        <w:rPr>
          <w:rFonts w:ascii="Times New Roman" w:hAnsi="Times New Roman" w:cs="Times New Roman"/>
          <w:sz w:val="24"/>
          <w:szCs w:val="24"/>
        </w:rPr>
        <w:t xml:space="preserve"> order. After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responded, we gave her 30 days to file and serve a judgment of dismissal. In February 2011, the trial court modified a judgment of dismissal submitted pursuant to the {Slip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 xml:space="preserve">. Page 7} stipulation of the parties to entitle it "Order of Dismissal" and signed it. We granted an application to file an amicus brief by the National Housing Law Project, Housing and Economic Rights Advocates, Law Foundation of Silicon Valley, California Reinvestment Coalition, and Eric Mercer. We took the matter off calendar, granted judicial notice of documents presented by defendants to the trial court in opposition to the demurrer, and granted the parties leave to file supplemental briefs regarding amendment to add a cause of action for breach of the covenant of good faith and fair dealing. Supplemental briefs were filed by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and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w:t>
      </w:r>
    </w:p>
    <w:p w:rsidR="00D60028" w:rsidRPr="00D60028" w:rsidRDefault="00D60028" w:rsidP="00D60028">
      <w:pPr>
        <w:jc w:val="center"/>
        <w:rPr>
          <w:rFonts w:ascii="Times New Roman" w:hAnsi="Times New Roman" w:cs="Times New Roman"/>
          <w:sz w:val="24"/>
          <w:szCs w:val="24"/>
        </w:rPr>
      </w:pPr>
      <w:r w:rsidRPr="00D60028">
        <w:rPr>
          <w:rFonts w:ascii="Times New Roman" w:hAnsi="Times New Roman" w:cs="Times New Roman"/>
          <w:b/>
          <w:bCs/>
          <w:sz w:val="24"/>
          <w:szCs w:val="24"/>
        </w:rPr>
        <w:t>DISCUSSION</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We apply the de novo standard to review an order sustaining a demurrer.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 xml:space="preserve">Sprinkles v. Associated Indemnity Corp. </w:t>
      </w:r>
      <w:r w:rsidRPr="00D60028">
        <w:rPr>
          <w:rFonts w:ascii="Times New Roman" w:hAnsi="Times New Roman" w:cs="Times New Roman"/>
          <w:sz w:val="24"/>
          <w:szCs w:val="24"/>
        </w:rPr>
        <w:t xml:space="preserve">(2010) </w:t>
      </w:r>
      <w:hyperlink r:id="rId6" w:history="1">
        <w:r w:rsidRPr="00D60028">
          <w:rPr>
            <w:rFonts w:ascii="Times New Roman" w:hAnsi="Times New Roman" w:cs="Times New Roman"/>
            <w:color w:val="0000FF"/>
            <w:sz w:val="24"/>
            <w:szCs w:val="24"/>
            <w:u w:val="single"/>
          </w:rPr>
          <w:t>188 Cal.App.4th 69</w:t>
        </w:r>
      </w:hyperlink>
      <w:r w:rsidRPr="00D60028">
        <w:rPr>
          <w:rFonts w:ascii="Times New Roman" w:hAnsi="Times New Roman" w:cs="Times New Roman"/>
          <w:sz w:val="24"/>
          <w:szCs w:val="24"/>
        </w:rPr>
        <w:t>, 75.)</w:t>
      </w:r>
      <w:proofErr w:type="gramEnd"/>
      <w:r w:rsidRPr="00D60028">
        <w:rPr>
          <w:rFonts w:ascii="Times New Roman" w:hAnsi="Times New Roman" w:cs="Times New Roman"/>
          <w:sz w:val="24"/>
          <w:szCs w:val="24"/>
        </w:rPr>
        <w:t xml:space="preserve"> Since the trial court sustained the demurrer without leave to amend, we must determine "whether there is a reasonable probability that the complaint could have been amended to cure the defect; if so, [we] will conclude that the trial court abused its discretion by denying the plaintiff leave to amend."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Id</w:t>
      </w:r>
      <w:r w:rsidRPr="00D60028">
        <w:rPr>
          <w:rFonts w:ascii="Times New Roman" w:hAnsi="Times New Roman" w:cs="Times New Roman"/>
          <w:sz w:val="24"/>
          <w:szCs w:val="24"/>
        </w:rPr>
        <w:t>. at p. 76.)</w:t>
      </w:r>
      <w:proofErr w:type="gramEnd"/>
      <w:r w:rsidRPr="00D60028">
        <w:rPr>
          <w:rFonts w:ascii="Times New Roman" w:hAnsi="Times New Roman" w:cs="Times New Roman"/>
          <w:sz w:val="24"/>
          <w:szCs w:val="24"/>
        </w:rPr>
        <w:t xml:space="preserve"> It is plaintiff's burden to establish that the complaint could be amended to cure any pleading defect.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Ibid.</w:t>
      </w:r>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attached the three relevant loan modification documents (the Trial Period Plan, the Modification Agreement, and the Revised Modification Agreement) to her complaint and incorporated them by reference. "'Where a written contract is pleaded by attachment to and incorporation in a complaint, and where the complaint fails to allege that the terms of the contract have any special meaning, a court will construe the language of the contract on its face to determine whether, as a matter of law, the contract is reasonably subject to a construction </w:t>
      </w:r>
      <w:r w:rsidRPr="00D60028">
        <w:rPr>
          <w:rFonts w:ascii="Times New Roman" w:hAnsi="Times New Roman" w:cs="Times New Roman"/>
          <w:sz w:val="24"/>
          <w:szCs w:val="24"/>
        </w:rPr>
        <w:lastRenderedPageBreak/>
        <w:t xml:space="preserve">sufficient to sustain a cause of action for breach.'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Moreover, '[t]he rule on demurrer is simply a variation on the well-recognized theme that "[</w:t>
      </w:r>
      <w:proofErr w:type="spellStart"/>
      <w:r w:rsidRPr="00D60028">
        <w:rPr>
          <w:rFonts w:ascii="Times New Roman" w:hAnsi="Times New Roman" w:cs="Times New Roman"/>
          <w:sz w:val="24"/>
          <w:szCs w:val="24"/>
        </w:rPr>
        <w:t>i</w:t>
      </w:r>
      <w:proofErr w:type="spellEnd"/>
      <w:r w:rsidRPr="00D60028">
        <w:rPr>
          <w:rFonts w:ascii="Times New Roman" w:hAnsi="Times New Roman" w:cs="Times New Roman"/>
          <w:sz w:val="24"/>
          <w:szCs w:val="24"/>
        </w:rPr>
        <w:t xml:space="preserve">]t is . . . solely a judicial function to interpret a written instrument unless the interpretation turns upon the credibility of extrinsic evidence." </w:t>
      </w:r>
      <w:proofErr w:type="gramStart"/>
      <w:r w:rsidRPr="00D60028">
        <w:rPr>
          <w:rFonts w:ascii="Times New Roman" w:hAnsi="Times New Roman" w:cs="Times New Roman"/>
          <w:sz w:val="24"/>
          <w:szCs w:val="24"/>
        </w:rPr>
        <w:t>[Citations.]'</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w:t>
      </w:r>
      <w:r w:rsidRPr="00D60028">
        <w:rPr>
          <w:rFonts w:ascii="Times New Roman" w:hAnsi="Times New Roman" w:cs="Times New Roman"/>
          <w:i/>
          <w:iCs/>
          <w:sz w:val="24"/>
          <w:szCs w:val="24"/>
        </w:rPr>
        <w:t xml:space="preserve">Davies </w:t>
      </w:r>
      <w:proofErr w:type="gramStart"/>
      <w:r w:rsidRPr="00D60028">
        <w:rPr>
          <w:rFonts w:ascii="Times New Roman" w:hAnsi="Times New Roman" w:cs="Times New Roman"/>
          <w:i/>
          <w:iCs/>
          <w:sz w:val="24"/>
          <w:szCs w:val="24"/>
        </w:rPr>
        <w:t xml:space="preserve">v. Sallie Mae, Inc. </w:t>
      </w:r>
      <w:r w:rsidRPr="00D60028">
        <w:rPr>
          <w:rFonts w:ascii="Times New Roman" w:hAnsi="Times New Roman" w:cs="Times New Roman"/>
          <w:sz w:val="24"/>
          <w:szCs w:val="24"/>
        </w:rPr>
        <w:t xml:space="preserve">(2008) </w:t>
      </w:r>
      <w:hyperlink r:id="rId7" w:history="1">
        <w:r w:rsidRPr="00D60028">
          <w:rPr>
            <w:rFonts w:ascii="Times New Roman" w:hAnsi="Times New Roman" w:cs="Times New Roman"/>
            <w:color w:val="0000FF"/>
            <w:sz w:val="24"/>
            <w:szCs w:val="24"/>
            <w:u w:val="single"/>
          </w:rPr>
          <w:t>168 Cal.App.4th 1086</w:t>
        </w:r>
      </w:hyperlink>
      <w:r w:rsidRPr="00D60028">
        <w:rPr>
          <w:rFonts w:ascii="Times New Roman" w:hAnsi="Times New Roman" w:cs="Times New Roman"/>
          <w:sz w:val="24"/>
          <w:szCs w:val="24"/>
        </w:rPr>
        <w:t>, 1091</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 xml:space="preserve">"'The basic goal of contract interpretation is to give effect to the parties' mutual {Slip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Page 8} intent at the time of contracting.</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[Citations.]</w:t>
      </w:r>
      <w:proofErr w:type="gramEnd"/>
      <w:r w:rsidRPr="00D60028">
        <w:rPr>
          <w:rFonts w:ascii="Times New Roman" w:hAnsi="Times New Roman" w:cs="Times New Roman"/>
          <w:sz w:val="24"/>
          <w:szCs w:val="24"/>
        </w:rPr>
        <w:t xml:space="preserve"> When a contract is reduced to writing, the parties' intention is determined from the writing alone, if possible.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"The words of a contract are to be understood in their ordinary and popular sense." </w:t>
      </w:r>
      <w:proofErr w:type="gramStart"/>
      <w:r w:rsidRPr="00D60028">
        <w:rPr>
          <w:rFonts w:ascii="Times New Roman" w:hAnsi="Times New Roman" w:cs="Times New Roman"/>
          <w:sz w:val="24"/>
          <w:szCs w:val="24"/>
        </w:rPr>
        <w:t>[Citations.]'</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w:t>
      </w:r>
      <w:r w:rsidRPr="00D60028">
        <w:rPr>
          <w:rFonts w:ascii="Times New Roman" w:hAnsi="Times New Roman" w:cs="Times New Roman"/>
          <w:i/>
          <w:iCs/>
          <w:sz w:val="24"/>
          <w:szCs w:val="24"/>
        </w:rPr>
        <w:t>Avalon Pacific--Santa Ana, L.P. v. HD Supply Repair &amp; Remodel, LLC</w:t>
      </w:r>
      <w:r w:rsidRPr="00D60028">
        <w:rPr>
          <w:rFonts w:ascii="Times New Roman" w:hAnsi="Times New Roman" w:cs="Times New Roman"/>
          <w:sz w:val="24"/>
          <w:szCs w:val="24"/>
        </w:rPr>
        <w:t xml:space="preserve"> (2011) </w:t>
      </w:r>
      <w:hyperlink r:id="rId8" w:history="1">
        <w:r w:rsidRPr="00D60028">
          <w:rPr>
            <w:rFonts w:ascii="Times New Roman" w:hAnsi="Times New Roman" w:cs="Times New Roman"/>
            <w:color w:val="0000FF"/>
            <w:sz w:val="24"/>
            <w:szCs w:val="24"/>
            <w:u w:val="single"/>
          </w:rPr>
          <w:t>192 Cal.App.4th 1183</w:t>
        </w:r>
      </w:hyperlink>
      <w:r w:rsidRPr="00D60028">
        <w:rPr>
          <w:rFonts w:ascii="Times New Roman" w:hAnsi="Times New Roman" w:cs="Times New Roman"/>
          <w:sz w:val="24"/>
          <w:szCs w:val="24"/>
        </w:rPr>
        <w:t>, 1198.)</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On enforceability of the Modification Agreements,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position is that she formed a binding contract with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to modify the terms of her mortgage and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waived any right to claim conditions precedent had not been satisfied by accepting modified mortgage payments for nine months. She also argues that leave to amend should have been granted to allow her to plead causes of action for promissory estoppel, wrongful foreclosure, and breach of the covenant of good faith and fair dealing. Defendants argue that no agreement to modify the terms of the mortgage was reached because express conditions </w:t>
      </w:r>
      <w:proofErr w:type="gramStart"/>
      <w:r w:rsidRPr="00D60028">
        <w:rPr>
          <w:rFonts w:ascii="Times New Roman" w:hAnsi="Times New Roman" w:cs="Times New Roman"/>
          <w:sz w:val="24"/>
          <w:szCs w:val="24"/>
        </w:rPr>
        <w:t>precedent were</w:t>
      </w:r>
      <w:proofErr w:type="gramEnd"/>
      <w:r w:rsidRPr="00D60028">
        <w:rPr>
          <w:rFonts w:ascii="Times New Roman" w:hAnsi="Times New Roman" w:cs="Times New Roman"/>
          <w:sz w:val="24"/>
          <w:szCs w:val="24"/>
        </w:rPr>
        <w:t xml:space="preserve"> not satisfied. These include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untimely execution of one of the agreements and failure to have her signature notarized, as well as </w:t>
      </w:r>
      <w:proofErr w:type="spellStart"/>
      <w:r w:rsidRPr="00D60028">
        <w:rPr>
          <w:rFonts w:ascii="Times New Roman" w:hAnsi="Times New Roman" w:cs="Times New Roman"/>
          <w:sz w:val="24"/>
          <w:szCs w:val="24"/>
        </w:rPr>
        <w:t>Ocwen's</w:t>
      </w:r>
      <w:proofErr w:type="spellEnd"/>
      <w:r w:rsidRPr="00D60028">
        <w:rPr>
          <w:rFonts w:ascii="Times New Roman" w:hAnsi="Times New Roman" w:cs="Times New Roman"/>
          <w:sz w:val="24"/>
          <w:szCs w:val="24"/>
        </w:rPr>
        <w:t xml:space="preserve"> failure to return a signed copy to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Defendants contend that the express terms of the modification agreements allowed for acceptance of payments without waiver of any right to foreclose or other remedies. They assert that there was no breach of contract and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cannot amend her complaint to state causes of action for promissory estoppel, wrongful foreclosure, or breach of the covenant of good faith and fair dealing. We begin with the breach of contract cause of action.</w:t>
      </w:r>
    </w:p>
    <w:p w:rsidR="00D60028" w:rsidRPr="00D60028" w:rsidRDefault="00D60028" w:rsidP="00D60028">
      <w:pPr>
        <w:jc w:val="center"/>
        <w:rPr>
          <w:rFonts w:ascii="Times New Roman" w:hAnsi="Times New Roman" w:cs="Times New Roman"/>
          <w:sz w:val="24"/>
          <w:szCs w:val="24"/>
        </w:rPr>
      </w:pPr>
      <w:r w:rsidRPr="00D60028">
        <w:rPr>
          <w:rFonts w:ascii="Times New Roman" w:hAnsi="Times New Roman" w:cs="Times New Roman"/>
          <w:b/>
          <w:bCs/>
          <w:sz w:val="24"/>
          <w:szCs w:val="24"/>
        </w:rPr>
        <w:t>I</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The breach of contract cause of action turns on whether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failed to allege performance of a condition precedent to formation of a valid agreement to modify the terms of her loan. "In contract law, a 'condition precedent' is 'either an act of a party that must be performed or an uncertain event that must happen before the contractual right accrues or the contractual duty arises.'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 xml:space="preserve">Wm. R. Clarke Corp. v. Safeco Ins. Co. </w:t>
      </w:r>
      <w:r w:rsidRPr="00D60028">
        <w:rPr>
          <w:rFonts w:ascii="Times New Roman" w:hAnsi="Times New Roman" w:cs="Times New Roman"/>
          <w:sz w:val="24"/>
          <w:szCs w:val="24"/>
        </w:rPr>
        <w:t xml:space="preserve">{Slip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 xml:space="preserve">Page 9} (1997) </w:t>
      </w:r>
      <w:hyperlink r:id="rId9" w:history="1">
        <w:r w:rsidRPr="00D60028">
          <w:rPr>
            <w:rFonts w:ascii="Times New Roman" w:hAnsi="Times New Roman" w:cs="Times New Roman"/>
            <w:color w:val="0000FF"/>
            <w:sz w:val="24"/>
            <w:szCs w:val="24"/>
            <w:u w:val="single"/>
          </w:rPr>
          <w:t>15 Cal.4th 882</w:t>
        </w:r>
      </w:hyperlink>
      <w:r w:rsidRPr="00D60028">
        <w:rPr>
          <w:rFonts w:ascii="Times New Roman" w:hAnsi="Times New Roman" w:cs="Times New Roman"/>
          <w:sz w:val="24"/>
          <w:szCs w:val="24"/>
        </w:rPr>
        <w:t>, 885, fn. 1.)</w:t>
      </w:r>
      <w:proofErr w:type="gramEnd"/>
      <w:r w:rsidRPr="00D60028">
        <w:rPr>
          <w:rFonts w:ascii="Times New Roman" w:hAnsi="Times New Roman" w:cs="Times New Roman"/>
          <w:sz w:val="24"/>
          <w:szCs w:val="24"/>
        </w:rPr>
        <w:t xml:space="preserve"> </w:t>
      </w:r>
      <w:bookmarkStart w:id="2" w:name="A0003"/>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"B0003" </w:instrText>
      </w:r>
      <w:r w:rsidRPr="00D60028">
        <w:rPr>
          <w:rFonts w:ascii="Times New Roman" w:hAnsi="Times New Roman" w:cs="Times New Roman"/>
          <w:sz w:val="24"/>
          <w:szCs w:val="24"/>
        </w:rPr>
        <w:fldChar w:fldCharType="separate"/>
      </w:r>
      <w:r w:rsidRPr="00D60028">
        <w:rPr>
          <w:rFonts w:ascii="Times New Roman" w:hAnsi="Times New Roman" w:cs="Times New Roman"/>
          <w:color w:val="0000FF"/>
          <w:sz w:val="24"/>
          <w:szCs w:val="24"/>
          <w:u w:val="single"/>
        </w:rPr>
        <w:t>fn. 3</w:t>
      </w:r>
      <w:r w:rsidRPr="00D60028">
        <w:rPr>
          <w:rFonts w:ascii="Times New Roman" w:hAnsi="Times New Roman" w:cs="Times New Roman"/>
          <w:sz w:val="24"/>
          <w:szCs w:val="24"/>
        </w:rPr>
        <w:fldChar w:fldCharType="end"/>
      </w:r>
      <w:bookmarkEnd w:id="2"/>
      <w:r w:rsidRPr="00D60028">
        <w:rPr>
          <w:rFonts w:ascii="Times New Roman" w:hAnsi="Times New Roman" w:cs="Times New Roman"/>
          <w:sz w:val="24"/>
          <w:szCs w:val="24"/>
        </w:rPr>
        <w:t xml:space="preserve"> "The existence of a condition precedent normally depends upon the intent of the parties as determined from the words they have employed in the contract. (13 Williston on Contracts (4th ed. 2000) § 38:16, at p. 441.)" (</w:t>
      </w:r>
      <w:proofErr w:type="spellStart"/>
      <w:r w:rsidRPr="00D60028">
        <w:rPr>
          <w:rFonts w:ascii="Times New Roman" w:hAnsi="Times New Roman" w:cs="Times New Roman"/>
          <w:i/>
          <w:iCs/>
          <w:sz w:val="24"/>
          <w:szCs w:val="24"/>
        </w:rPr>
        <w:t>Realmuto</w:t>
      </w:r>
      <w:proofErr w:type="spellEnd"/>
      <w:r w:rsidRPr="00D60028">
        <w:rPr>
          <w:rFonts w:ascii="Times New Roman" w:hAnsi="Times New Roman" w:cs="Times New Roman"/>
          <w:i/>
          <w:iCs/>
          <w:sz w:val="24"/>
          <w:szCs w:val="24"/>
        </w:rPr>
        <w:t xml:space="preserve"> </w:t>
      </w:r>
      <w:proofErr w:type="gramStart"/>
      <w:r w:rsidRPr="00D60028">
        <w:rPr>
          <w:rFonts w:ascii="Times New Roman" w:hAnsi="Times New Roman" w:cs="Times New Roman"/>
          <w:i/>
          <w:iCs/>
          <w:sz w:val="24"/>
          <w:szCs w:val="24"/>
        </w:rPr>
        <w:t xml:space="preserve">v. </w:t>
      </w:r>
      <w:proofErr w:type="spellStart"/>
      <w:r w:rsidRPr="00D60028">
        <w:rPr>
          <w:rFonts w:ascii="Times New Roman" w:hAnsi="Times New Roman" w:cs="Times New Roman"/>
          <w:i/>
          <w:iCs/>
          <w:sz w:val="24"/>
          <w:szCs w:val="24"/>
        </w:rPr>
        <w:t>Gagnard</w:t>
      </w:r>
      <w:proofErr w:type="spellEnd"/>
      <w:r w:rsidRPr="00D60028">
        <w:rPr>
          <w:rFonts w:ascii="Times New Roman" w:hAnsi="Times New Roman" w:cs="Times New Roman"/>
          <w:i/>
          <w:iCs/>
          <w:sz w:val="24"/>
          <w:szCs w:val="24"/>
        </w:rPr>
        <w:t xml:space="preserve"> </w:t>
      </w:r>
      <w:r w:rsidRPr="00D60028">
        <w:rPr>
          <w:rFonts w:ascii="Times New Roman" w:hAnsi="Times New Roman" w:cs="Times New Roman"/>
          <w:sz w:val="24"/>
          <w:szCs w:val="24"/>
        </w:rPr>
        <w:t xml:space="preserve">(2003) </w:t>
      </w:r>
      <w:hyperlink r:id="rId10" w:history="1">
        <w:r w:rsidRPr="00D60028">
          <w:rPr>
            <w:rFonts w:ascii="Times New Roman" w:hAnsi="Times New Roman" w:cs="Times New Roman"/>
            <w:color w:val="0000FF"/>
            <w:sz w:val="24"/>
            <w:szCs w:val="24"/>
            <w:u w:val="single"/>
          </w:rPr>
          <w:t>110 Cal.App.4th 193</w:t>
        </w:r>
      </w:hyperlink>
      <w:r w:rsidRPr="00D60028">
        <w:rPr>
          <w:rFonts w:ascii="Times New Roman" w:hAnsi="Times New Roman" w:cs="Times New Roman"/>
          <w:sz w:val="24"/>
          <w:szCs w:val="24"/>
        </w:rPr>
        <w:t>, 199</w:t>
      </w:r>
      <w:proofErr w:type="gramEnd"/>
      <w:r w:rsidRPr="00D60028">
        <w:rPr>
          <w:rFonts w:ascii="Times New Roman" w:hAnsi="Times New Roman" w:cs="Times New Roman"/>
          <w:sz w:val="24"/>
          <w:szCs w:val="24"/>
        </w:rPr>
        <w:t xml:space="preserve">.) "'The rule is that provisions of a contract will not be construed as conditions precedent in the absence of language plainly requiring such construction. </w:t>
      </w:r>
      <w:proofErr w:type="gramStart"/>
      <w:r w:rsidRPr="00D60028">
        <w:rPr>
          <w:rFonts w:ascii="Times New Roman" w:hAnsi="Times New Roman" w:cs="Times New Roman"/>
          <w:sz w:val="24"/>
          <w:szCs w:val="24"/>
        </w:rPr>
        <w:t>[Citations.]'</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 xml:space="preserve">Rubin v. Fuchs </w:t>
      </w:r>
      <w:r w:rsidRPr="00D60028">
        <w:rPr>
          <w:rFonts w:ascii="Times New Roman" w:hAnsi="Times New Roman" w:cs="Times New Roman"/>
          <w:sz w:val="24"/>
          <w:szCs w:val="24"/>
        </w:rPr>
        <w:t xml:space="preserve">(1969) </w:t>
      </w:r>
      <w:hyperlink r:id="rId11" w:history="1">
        <w:r w:rsidRPr="00D60028">
          <w:rPr>
            <w:rFonts w:ascii="Times New Roman" w:hAnsi="Times New Roman" w:cs="Times New Roman"/>
            <w:color w:val="0000FF"/>
            <w:sz w:val="24"/>
            <w:szCs w:val="24"/>
            <w:u w:val="single"/>
          </w:rPr>
          <w:t>1 Cal.3d 50</w:t>
        </w:r>
      </w:hyperlink>
      <w:r w:rsidRPr="00D60028">
        <w:rPr>
          <w:rFonts w:ascii="Times New Roman" w:hAnsi="Times New Roman" w:cs="Times New Roman"/>
          <w:sz w:val="24"/>
          <w:szCs w:val="24"/>
        </w:rPr>
        <w:t>, 53.)</w:t>
      </w:r>
      <w:proofErr w:type="gramEnd"/>
      <w:r w:rsidRPr="00D60028">
        <w:rPr>
          <w:rFonts w:ascii="Times New Roman" w:hAnsi="Times New Roman" w:cs="Times New Roman"/>
          <w:sz w:val="24"/>
          <w:szCs w:val="24"/>
        </w:rPr>
        <w:t xml:space="preserve"> [Footnote omitted.]" (</w:t>
      </w:r>
      <w:r w:rsidRPr="00D60028">
        <w:rPr>
          <w:rFonts w:ascii="Times New Roman" w:hAnsi="Times New Roman" w:cs="Times New Roman"/>
          <w:i/>
          <w:iCs/>
          <w:sz w:val="24"/>
          <w:szCs w:val="24"/>
        </w:rPr>
        <w:t xml:space="preserve">Fireman's Fund Ins. Co. </w:t>
      </w:r>
      <w:proofErr w:type="gramStart"/>
      <w:r w:rsidRPr="00D60028">
        <w:rPr>
          <w:rFonts w:ascii="Times New Roman" w:hAnsi="Times New Roman" w:cs="Times New Roman"/>
          <w:i/>
          <w:iCs/>
          <w:sz w:val="24"/>
          <w:szCs w:val="24"/>
        </w:rPr>
        <w:t xml:space="preserve">v. Sizzler USA Real Property, Inc. </w:t>
      </w:r>
      <w:r w:rsidRPr="00D60028">
        <w:rPr>
          <w:rFonts w:ascii="Times New Roman" w:hAnsi="Times New Roman" w:cs="Times New Roman"/>
          <w:sz w:val="24"/>
          <w:szCs w:val="24"/>
        </w:rPr>
        <w:t xml:space="preserve">(2008) </w:t>
      </w:r>
      <w:hyperlink r:id="rId12" w:history="1">
        <w:r w:rsidRPr="00D60028">
          <w:rPr>
            <w:rFonts w:ascii="Times New Roman" w:hAnsi="Times New Roman" w:cs="Times New Roman"/>
            <w:color w:val="0000FF"/>
            <w:sz w:val="24"/>
            <w:szCs w:val="24"/>
            <w:u w:val="single"/>
          </w:rPr>
          <w:t>169 Cal.App.4th 415</w:t>
        </w:r>
      </w:hyperlink>
      <w:r w:rsidRPr="00D60028">
        <w:rPr>
          <w:rFonts w:ascii="Times New Roman" w:hAnsi="Times New Roman" w:cs="Times New Roman"/>
          <w:sz w:val="24"/>
          <w:szCs w:val="24"/>
        </w:rPr>
        <w:t>, 421</w:t>
      </w:r>
      <w:proofErr w:type="gramEnd"/>
      <w:r w:rsidRPr="00D60028">
        <w:rPr>
          <w:rFonts w:ascii="Times New Roman" w:hAnsi="Times New Roman" w:cs="Times New Roman"/>
          <w:sz w:val="24"/>
          <w:szCs w:val="24"/>
        </w:rPr>
        <w:t xml:space="preserve">.)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invokes the rule that conditions precedent are not favored in the law and that we should not "construe a term of the contract so as to establish a condition precedent absent plain and unambiguous contract language to that effect.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 xml:space="preserve">Frankel v. Board of Dental Examiners </w:t>
      </w:r>
      <w:r w:rsidRPr="00D60028">
        <w:rPr>
          <w:rFonts w:ascii="Times New Roman" w:hAnsi="Times New Roman" w:cs="Times New Roman"/>
          <w:sz w:val="24"/>
          <w:szCs w:val="24"/>
        </w:rPr>
        <w:t xml:space="preserve">(1996) </w:t>
      </w:r>
      <w:hyperlink r:id="rId13" w:history="1">
        <w:r w:rsidRPr="00D60028">
          <w:rPr>
            <w:rFonts w:ascii="Times New Roman" w:hAnsi="Times New Roman" w:cs="Times New Roman"/>
            <w:color w:val="0000FF"/>
            <w:sz w:val="24"/>
            <w:szCs w:val="24"/>
            <w:u w:val="single"/>
          </w:rPr>
          <w:t>46 Cal.App.4th 534</w:t>
        </w:r>
      </w:hyperlink>
      <w:r w:rsidRPr="00D60028">
        <w:rPr>
          <w:rFonts w:ascii="Times New Roman" w:hAnsi="Times New Roman" w:cs="Times New Roman"/>
          <w:sz w:val="24"/>
          <w:szCs w:val="24"/>
        </w:rPr>
        <w:t>, 550.)</w:t>
      </w:r>
      <w:proofErr w:type="gramEnd"/>
      <w:r w:rsidRPr="00D60028">
        <w:rPr>
          <w:rFonts w:ascii="Times New Roman" w:hAnsi="Times New Roman" w:cs="Times New Roman"/>
          <w:sz w:val="24"/>
          <w:szCs w:val="24"/>
        </w:rPr>
        <w:t xml:space="preserve">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lastRenderedPageBreak/>
        <w:t xml:space="preserve">Three conditions are at issue here: 1) whether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was required to have her signature notarized; 2) whether execution of an agreement depended upon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returning a copy of the agreement it had signed to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and 3) whether she met the October 30, 2009 deadline for her signature on the Revised Modification Agreement.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A.</w:t>
      </w:r>
      <w:r w:rsidRPr="00D60028">
        <w:rPr>
          <w:rFonts w:ascii="Times New Roman" w:hAnsi="Times New Roman" w:cs="Times New Roman"/>
          <w:i/>
          <w:iCs/>
          <w:sz w:val="24"/>
          <w:szCs w:val="24"/>
        </w:rPr>
        <w:t xml:space="preserve"> Contract Terms</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1. </w:t>
      </w:r>
      <w:r w:rsidRPr="00D60028">
        <w:rPr>
          <w:rFonts w:ascii="Times New Roman" w:hAnsi="Times New Roman" w:cs="Times New Roman"/>
          <w:i/>
          <w:iCs/>
          <w:sz w:val="24"/>
          <w:szCs w:val="24"/>
        </w:rPr>
        <w:t>Signature Requirements</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a.</w:t>
      </w:r>
      <w:r w:rsidRPr="00D60028">
        <w:rPr>
          <w:rFonts w:ascii="Times New Roman" w:hAnsi="Times New Roman" w:cs="Times New Roman"/>
          <w:i/>
          <w:iCs/>
          <w:sz w:val="24"/>
          <w:szCs w:val="24"/>
        </w:rPr>
        <w:t xml:space="preserve"> </w:t>
      </w:r>
      <w:proofErr w:type="spellStart"/>
      <w:r w:rsidRPr="00D60028">
        <w:rPr>
          <w:rFonts w:ascii="Times New Roman" w:hAnsi="Times New Roman" w:cs="Times New Roman"/>
          <w:i/>
          <w:iCs/>
          <w:sz w:val="24"/>
          <w:szCs w:val="24"/>
        </w:rPr>
        <w:t>Barroso's</w:t>
      </w:r>
      <w:proofErr w:type="spellEnd"/>
      <w:r w:rsidRPr="00D60028">
        <w:rPr>
          <w:rFonts w:ascii="Times New Roman" w:hAnsi="Times New Roman" w:cs="Times New Roman"/>
          <w:i/>
          <w:iCs/>
          <w:sz w:val="24"/>
          <w:szCs w:val="24"/>
        </w:rPr>
        <w:t xml:space="preserve"> Notarized Signature</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As we shall explain, we conclude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has alleged a viable cause of action for breach of the Modification Agreement, but not the Revised Modification Agreement. This is because the exhibits incorporated into the complaint establish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was required to have her signature on the Revised Modification Agreement notarized. No similar requirement for the Modification Agreement is established on this record, and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alleged full compliance with the other requirements of that agreement. </w:t>
      </w:r>
      <w:proofErr w:type="gramStart"/>
      <w:r w:rsidRPr="00D60028">
        <w:rPr>
          <w:rFonts w:ascii="Times New Roman" w:hAnsi="Times New Roman" w:cs="Times New Roman"/>
          <w:sz w:val="24"/>
          <w:szCs w:val="24"/>
        </w:rPr>
        <w:t xml:space="preserve">{Slip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Page 10}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does not directly address whether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was required to notarize her signature on the Modification Agreement when she signed it in July 2009. Instead, it cites provisions in both the Modification Agreement and Revised Modification Agreement stating that the loan documents would not be modified until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received a copy of the agreement signed by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an issue we discuss next.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then states: "In addition to failing to sign the document before a notary as expressly required in the offer,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does not allege or attach a fully executed agreement by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as was also expressly required by the terms to demonstrate finalization (accepting her December of 2009 attempt to retroactively create a loan modification in October 2009)." This sentence appears to refer to the Revised Modification Agreement rather than the Modification Agreement.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concludes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failed to plead facts to support satisfaction of the critical express conditions to contract formation.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executed the Trial Period Plan on July 3, 2009, but her signature was not notarized. On the form for her signature, the word "(Seal)" appears at the end of the line for her signature.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also executed the Modification Agreement on July 3, 2009, without notarization. The signature form is the same as on the Trial Period Plan form, with the word "(Seal)" typed at the end of the line for the borrower's signature: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"In witness </w:t>
      </w:r>
      <w:proofErr w:type="gramStart"/>
      <w:r w:rsidRPr="00D60028">
        <w:rPr>
          <w:rFonts w:ascii="Times New Roman" w:hAnsi="Times New Roman" w:cs="Times New Roman"/>
          <w:sz w:val="24"/>
          <w:szCs w:val="24"/>
        </w:rPr>
        <w:t>Whereof</w:t>
      </w:r>
      <w:proofErr w:type="gramEnd"/>
      <w:r w:rsidRPr="00D60028">
        <w:rPr>
          <w:rFonts w:ascii="Times New Roman" w:hAnsi="Times New Roman" w:cs="Times New Roman"/>
          <w:sz w:val="24"/>
          <w:szCs w:val="24"/>
        </w:rPr>
        <w:t>, the Servicer and I have executed this Agreement.</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_________________________</w:t>
      </w:r>
      <w:proofErr w:type="gramStart"/>
      <w:r w:rsidRPr="00D60028">
        <w:rPr>
          <w:rFonts w:ascii="Times New Roman" w:hAnsi="Times New Roman" w:cs="Times New Roman"/>
          <w:sz w:val="24"/>
          <w:szCs w:val="24"/>
        </w:rPr>
        <w:t>_[</w:t>
      </w:r>
      <w:proofErr w:type="spellStart"/>
      <w:proofErr w:type="gramEnd"/>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signature](Seal) </w:t>
      </w:r>
      <w:proofErr w:type="spellStart"/>
      <w:r w:rsidRPr="00D60028">
        <w:rPr>
          <w:rFonts w:ascii="Times New Roman" w:hAnsi="Times New Roman" w:cs="Times New Roman"/>
          <w:sz w:val="24"/>
          <w:szCs w:val="24"/>
        </w:rPr>
        <w:t>ServicerBorrower</w:t>
      </w:r>
      <w:proofErr w:type="spellEnd"/>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7-3-09 Date ___________</w:t>
      </w:r>
      <w:proofErr w:type="gramStart"/>
      <w:r w:rsidRPr="00D60028">
        <w:rPr>
          <w:rFonts w:ascii="Times New Roman" w:hAnsi="Times New Roman" w:cs="Times New Roman"/>
          <w:sz w:val="24"/>
          <w:szCs w:val="24"/>
        </w:rPr>
        <w:t>_(</w:t>
      </w:r>
      <w:proofErr w:type="gramEnd"/>
      <w:r w:rsidRPr="00D60028">
        <w:rPr>
          <w:rFonts w:ascii="Times New Roman" w:hAnsi="Times New Roman" w:cs="Times New Roman"/>
          <w:sz w:val="24"/>
          <w:szCs w:val="24"/>
        </w:rPr>
        <w:t xml:space="preserve">Seal) </w:t>
      </w:r>
      <w:proofErr w:type="spellStart"/>
      <w:r w:rsidRPr="00D60028">
        <w:rPr>
          <w:rFonts w:ascii="Times New Roman" w:hAnsi="Times New Roman" w:cs="Times New Roman"/>
          <w:sz w:val="24"/>
          <w:szCs w:val="24"/>
        </w:rPr>
        <w:t>By:________________________Borrower</w:t>
      </w:r>
      <w:proofErr w:type="spellEnd"/>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________________________________________________ Date </w:t>
      </w:r>
      <w:proofErr w:type="spellStart"/>
      <w:r w:rsidRPr="00D60028">
        <w:rPr>
          <w:rFonts w:ascii="Times New Roman" w:hAnsi="Times New Roman" w:cs="Times New Roman"/>
          <w:sz w:val="24"/>
          <w:szCs w:val="24"/>
        </w:rPr>
        <w:t>Date</w:t>
      </w:r>
      <w:proofErr w:type="spellEnd"/>
      <w:r w:rsidRPr="00D60028">
        <w:rPr>
          <w:rFonts w:ascii="Times New Roman" w:hAnsi="Times New Roman" w:cs="Times New Roman"/>
          <w:sz w:val="24"/>
          <w:szCs w:val="24"/>
        </w:rPr>
        <w:t>"</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No other space or form for notarizing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signature is provided on the Modification Agreement. The document does not include a </w:t>
      </w:r>
      <w:proofErr w:type="spellStart"/>
      <w:r w:rsidRPr="00D60028">
        <w:rPr>
          <w:rFonts w:ascii="Times New Roman" w:hAnsi="Times New Roman" w:cs="Times New Roman"/>
          <w:sz w:val="24"/>
          <w:szCs w:val="24"/>
        </w:rPr>
        <w:t>jurat</w:t>
      </w:r>
      <w:proofErr w:type="spellEnd"/>
      <w:r w:rsidRPr="00D60028">
        <w:rPr>
          <w:rFonts w:ascii="Times New Roman" w:hAnsi="Times New Roman" w:cs="Times New Roman"/>
          <w:sz w:val="24"/>
          <w:szCs w:val="24"/>
        </w:rPr>
        <w:t xml:space="preserve"> form. </w:t>
      </w:r>
      <w:proofErr w:type="gramStart"/>
      <w:r w:rsidRPr="00D60028">
        <w:rPr>
          <w:rFonts w:ascii="Times New Roman" w:hAnsi="Times New Roman" w:cs="Times New Roman"/>
          <w:sz w:val="24"/>
          <w:szCs w:val="24"/>
        </w:rPr>
        <w:t xml:space="preserve">{Slip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Page 11}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lastRenderedPageBreak/>
        <w:t>Ocwen</w:t>
      </w:r>
      <w:proofErr w:type="spellEnd"/>
      <w:r w:rsidRPr="00D60028">
        <w:rPr>
          <w:rFonts w:ascii="Times New Roman" w:hAnsi="Times New Roman" w:cs="Times New Roman"/>
          <w:sz w:val="24"/>
          <w:szCs w:val="24"/>
        </w:rPr>
        <w:t xml:space="preserve"> argues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was required to sign "the document" before a notary "as expressly required in the offer." It does not distinguish between the Modification Agreement and the Revised Modification Agreement in making this argument, and provides no citation to the record which would provide clarification. We have examined the entire Modification Agreement and have found no requirement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execute the document before a notary. As we have noted, no form for a notary to fill out is provided on the signature page of the Modification Agreement. Significantly, unlike the Modification Agreement, the signature page of the Revised Modification Agreement has a detailed form for the Notary to fill out acknowledging that the borrower signed the document before him or her.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The only express requirement that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signature be notarized appears in the letter attached to the complaint as Exhibit A, and incorporated by reference, from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to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dated "10/20/2009". </w:t>
      </w:r>
      <w:bookmarkStart w:id="3" w:name="A0004"/>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"B0004" </w:instrText>
      </w:r>
      <w:r w:rsidRPr="00D60028">
        <w:rPr>
          <w:rFonts w:ascii="Times New Roman" w:hAnsi="Times New Roman" w:cs="Times New Roman"/>
          <w:sz w:val="24"/>
          <w:szCs w:val="24"/>
        </w:rPr>
        <w:fldChar w:fldCharType="separate"/>
      </w:r>
      <w:r w:rsidRPr="00D60028">
        <w:rPr>
          <w:rFonts w:ascii="Times New Roman" w:hAnsi="Times New Roman" w:cs="Times New Roman"/>
          <w:color w:val="0000FF"/>
          <w:sz w:val="24"/>
          <w:szCs w:val="24"/>
          <w:u w:val="single"/>
        </w:rPr>
        <w:t>fn. 4</w:t>
      </w:r>
      <w:r w:rsidRPr="00D60028">
        <w:rPr>
          <w:rFonts w:ascii="Times New Roman" w:hAnsi="Times New Roman" w:cs="Times New Roman"/>
          <w:sz w:val="24"/>
          <w:szCs w:val="24"/>
        </w:rPr>
        <w:fldChar w:fldCharType="end"/>
      </w:r>
      <w:bookmarkEnd w:id="3"/>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The</w:t>
      </w:r>
      <w:proofErr w:type="gramEnd"/>
      <w:r w:rsidRPr="00D60028">
        <w:rPr>
          <w:rFonts w:ascii="Times New Roman" w:hAnsi="Times New Roman" w:cs="Times New Roman"/>
          <w:sz w:val="24"/>
          <w:szCs w:val="24"/>
        </w:rPr>
        <w:t xml:space="preserve"> letter congratulates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on her eligibility for a HAMP modification.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describes this document in her complaint as the letter she received in June 2009 notifying her of her eligibility for a loan modification. But at oral argument the parties agreed that Exhibit A was </w:t>
      </w:r>
      <w:r w:rsidRPr="00D60028">
        <w:rPr>
          <w:rFonts w:ascii="Times New Roman" w:hAnsi="Times New Roman" w:cs="Times New Roman"/>
          <w:i/>
          <w:iCs/>
          <w:sz w:val="24"/>
          <w:szCs w:val="24"/>
        </w:rPr>
        <w:t>not</w:t>
      </w:r>
      <w:r w:rsidRPr="00D60028">
        <w:rPr>
          <w:rFonts w:ascii="Times New Roman" w:hAnsi="Times New Roman" w:cs="Times New Roman"/>
          <w:sz w:val="24"/>
          <w:szCs w:val="24"/>
        </w:rPr>
        <w:t xml:space="preserve"> the cover letter for the Modification Agreement sent to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in June 2009 in light of its date. Instead it accompanied the Revised Modification Agreement sent to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later.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Three steps for accepting the offer are set out in Exhibit A. Step one stated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had to sign and return both copies of the modification agreement before October 30, 2009. It also said: "If the Modification Agreement has notary provisions at the end, you must sign both copies before a notary public and return the notarized copies to us." Step two required complete and timely payments and step three required return of both copies of the modification agreement to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Exhibit D to the complaint provided for a first payment on October 1, 2009. </w:t>
      </w:r>
      <w:proofErr w:type="gramStart"/>
      <w:r w:rsidRPr="00D60028">
        <w:rPr>
          <w:rFonts w:ascii="Times New Roman" w:hAnsi="Times New Roman" w:cs="Times New Roman"/>
          <w:sz w:val="24"/>
          <w:szCs w:val="24"/>
        </w:rPr>
        <w:t xml:space="preserve">{Slip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Page 12}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We are satisfied that the word "Seal" at the end of the line for the borrower's signature on the Modification Agreement was not sufficient to establish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was required to have her signature on that document notarized as a precondition to forming a valid contract to modify the terms of her loan.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allegation that she performed as required by the Modification Agreement leads to the conclusion that she has adequately alleged compliance with the signature requirement for that agreement. Our conclusion regarding the Revised Modification Agreement is different. Both Exhibit A and the signature block of the Revised Modification Agreement required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to have her signature notarized as a condition of her performance. The Revised Modification Agreement incorporated into the complaint demonstrates that she failed to do so since the form for the notary to use is blank.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cannot allege satisfaction of the signature requirement for the Revised Modification Agreement.</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b.</w:t>
      </w:r>
      <w:r w:rsidRPr="00D60028">
        <w:rPr>
          <w:rFonts w:ascii="Times New Roman" w:hAnsi="Times New Roman" w:cs="Times New Roman"/>
          <w:i/>
          <w:iCs/>
          <w:sz w:val="24"/>
          <w:szCs w:val="24"/>
        </w:rPr>
        <w:t xml:space="preserve"> Return of Copy Signed by </w:t>
      </w:r>
      <w:proofErr w:type="spellStart"/>
      <w:r w:rsidRPr="00D60028">
        <w:rPr>
          <w:rFonts w:ascii="Times New Roman" w:hAnsi="Times New Roman" w:cs="Times New Roman"/>
          <w:i/>
          <w:iCs/>
          <w:sz w:val="24"/>
          <w:szCs w:val="24"/>
        </w:rPr>
        <w:t>Ocwen</w:t>
      </w:r>
      <w:proofErr w:type="spellEnd"/>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In its brief,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argues there was no agreement to </w:t>
      </w:r>
      <w:proofErr w:type="spellStart"/>
      <w:r w:rsidRPr="00D60028">
        <w:rPr>
          <w:rFonts w:ascii="Times New Roman" w:hAnsi="Times New Roman" w:cs="Times New Roman"/>
          <w:sz w:val="24"/>
          <w:szCs w:val="24"/>
        </w:rPr>
        <w:t>modifiy</w:t>
      </w:r>
      <w:proofErr w:type="spellEnd"/>
      <w:r w:rsidRPr="00D60028">
        <w:rPr>
          <w:rFonts w:ascii="Times New Roman" w:hAnsi="Times New Roman" w:cs="Times New Roman"/>
          <w:sz w:val="24"/>
          <w:szCs w:val="24"/>
        </w:rPr>
        <w:t xml:space="preserve">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loan because she did not allege that she received a copy of any modification agreement signed by both her and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Each modification plan offered to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included language that it would not take effect unless both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and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signed the agreement and a fully executed copy was returned to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While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that the signed documents are in </w:t>
      </w:r>
      <w:proofErr w:type="spellStart"/>
      <w:r w:rsidRPr="00D60028">
        <w:rPr>
          <w:rFonts w:ascii="Times New Roman" w:hAnsi="Times New Roman" w:cs="Times New Roman"/>
          <w:sz w:val="24"/>
          <w:szCs w:val="24"/>
        </w:rPr>
        <w:t>Ocwen's</w:t>
      </w:r>
      <w:proofErr w:type="spellEnd"/>
      <w:r w:rsidRPr="00D60028">
        <w:rPr>
          <w:rFonts w:ascii="Times New Roman" w:hAnsi="Times New Roman" w:cs="Times New Roman"/>
          <w:sz w:val="24"/>
          <w:szCs w:val="24"/>
        </w:rPr>
        <w:t xml:space="preserve"> possession, she does </w:t>
      </w:r>
      <w:r w:rsidRPr="00D60028">
        <w:rPr>
          <w:rFonts w:ascii="Times New Roman" w:hAnsi="Times New Roman" w:cs="Times New Roman"/>
          <w:sz w:val="24"/>
          <w:szCs w:val="24"/>
        </w:rPr>
        <w:lastRenderedPageBreak/>
        <w:t xml:space="preserve">not allege </w:t>
      </w:r>
      <w:proofErr w:type="spellStart"/>
      <w:r w:rsidRPr="00D60028">
        <w:rPr>
          <w:rFonts w:ascii="Times New Roman" w:hAnsi="Times New Roman" w:cs="Times New Roman"/>
          <w:sz w:val="24"/>
          <w:szCs w:val="24"/>
        </w:rPr>
        <w:t>Ocwen's</w:t>
      </w:r>
      <w:proofErr w:type="spellEnd"/>
      <w:r w:rsidRPr="00D60028">
        <w:rPr>
          <w:rFonts w:ascii="Times New Roman" w:hAnsi="Times New Roman" w:cs="Times New Roman"/>
          <w:sz w:val="24"/>
          <w:szCs w:val="24"/>
        </w:rPr>
        <w:t xml:space="preserve"> signature and return to her of any of the loan modification documents. Significantly, at oral argument, counsel for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stated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does not argue that its failure to sign and send executed copies of the modification agreements to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precluded formation of the contract for modification. This concession is appropriate since the failure to return an executed copy of the agreement in the circumstances of this case could not act as a condition precedent precluding formation of a binding modification agreement.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""A contract must receive such an interpretation as will make it lawful, operative, definite, reasonable, and capable of being carried into effect, if it can be done without violating the intention of the parties.' </w:t>
      </w:r>
      <w:proofErr w:type="gramStart"/>
      <w:r w:rsidRPr="00D60028">
        <w:rPr>
          <w:rFonts w:ascii="Times New Roman" w:hAnsi="Times New Roman" w:cs="Times New Roman"/>
          <w:sz w:val="24"/>
          <w:szCs w:val="24"/>
        </w:rPr>
        <w:t xml:space="preserve">(Civ. Code, § 1643; </w:t>
      </w:r>
      <w:r w:rsidRPr="00D60028">
        <w:rPr>
          <w:rFonts w:ascii="Times New Roman" w:hAnsi="Times New Roman" w:cs="Times New Roman"/>
          <w:i/>
          <w:iCs/>
          <w:sz w:val="24"/>
          <w:szCs w:val="24"/>
        </w:rPr>
        <w:t>Beverly Hills Oil Co. v. Beverly Hills Unified Sch. Dist.</w:t>
      </w:r>
      <w:r w:rsidRPr="00D60028">
        <w:rPr>
          <w:rFonts w:ascii="Times New Roman" w:hAnsi="Times New Roman" w:cs="Times New Roman"/>
          <w:sz w:val="24"/>
          <w:szCs w:val="24"/>
        </w:rPr>
        <w:t xml:space="preserve"> (1968) </w:t>
      </w:r>
      <w:hyperlink r:id="rId14" w:history="1">
        <w:r w:rsidRPr="00D60028">
          <w:rPr>
            <w:rFonts w:ascii="Times New Roman" w:hAnsi="Times New Roman" w:cs="Times New Roman"/>
            <w:color w:val="0000FF"/>
            <w:sz w:val="24"/>
            <w:szCs w:val="24"/>
            <w:u w:val="single"/>
          </w:rPr>
          <w:t>264 Cal.App.2d 603</w:t>
        </w:r>
      </w:hyperlink>
      <w:r w:rsidRPr="00D60028">
        <w:rPr>
          <w:rFonts w:ascii="Times New Roman" w:hAnsi="Times New Roman" w:cs="Times New Roman"/>
          <w:sz w:val="24"/>
          <w:szCs w:val="24"/>
        </w:rPr>
        <w:t>, 609.)</w:t>
      </w:r>
      <w:proofErr w:type="gramEnd"/>
      <w:r w:rsidRPr="00D60028">
        <w:rPr>
          <w:rFonts w:ascii="Times New Roman" w:hAnsi="Times New Roman" w:cs="Times New Roman"/>
          <w:sz w:val="24"/>
          <w:szCs w:val="24"/>
        </w:rPr>
        <w:t xml:space="preserve"> 'The court must avoid {Slip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Page 13} an interpretation which will make a contract extraordinary, harsh, unjust, or inequitable.'</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 xml:space="preserve">Strong v. </w:t>
      </w:r>
      <w:proofErr w:type="spellStart"/>
      <w:r w:rsidRPr="00D60028">
        <w:rPr>
          <w:rFonts w:ascii="Times New Roman" w:hAnsi="Times New Roman" w:cs="Times New Roman"/>
          <w:i/>
          <w:iCs/>
          <w:sz w:val="24"/>
          <w:szCs w:val="24"/>
        </w:rPr>
        <w:t>Theis</w:t>
      </w:r>
      <w:proofErr w:type="spellEnd"/>
      <w:r w:rsidRPr="00D60028">
        <w:rPr>
          <w:rFonts w:ascii="Times New Roman" w:hAnsi="Times New Roman" w:cs="Times New Roman"/>
          <w:sz w:val="24"/>
          <w:szCs w:val="24"/>
        </w:rPr>
        <w:t xml:space="preserve"> (1986) </w:t>
      </w:r>
      <w:hyperlink r:id="rId15" w:history="1">
        <w:r w:rsidRPr="00D60028">
          <w:rPr>
            <w:rFonts w:ascii="Times New Roman" w:hAnsi="Times New Roman" w:cs="Times New Roman"/>
            <w:color w:val="0000FF"/>
            <w:sz w:val="24"/>
            <w:szCs w:val="24"/>
            <w:u w:val="single"/>
          </w:rPr>
          <w:t>187 Cal.App.3d 913</w:t>
        </w:r>
      </w:hyperlink>
      <w:r w:rsidRPr="00D60028">
        <w:rPr>
          <w:rFonts w:ascii="Times New Roman" w:hAnsi="Times New Roman" w:cs="Times New Roman"/>
          <w:sz w:val="24"/>
          <w:szCs w:val="24"/>
        </w:rPr>
        <w:t>, 920.)"</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 xml:space="preserve">Powers v. Dickson, Carlson &amp; </w:t>
      </w:r>
      <w:proofErr w:type="spellStart"/>
      <w:r w:rsidRPr="00D60028">
        <w:rPr>
          <w:rFonts w:ascii="Times New Roman" w:hAnsi="Times New Roman" w:cs="Times New Roman"/>
          <w:i/>
          <w:iCs/>
          <w:sz w:val="24"/>
          <w:szCs w:val="24"/>
        </w:rPr>
        <w:t>Campillo</w:t>
      </w:r>
      <w:proofErr w:type="spellEnd"/>
      <w:r w:rsidRPr="00D60028">
        <w:rPr>
          <w:rFonts w:ascii="Times New Roman" w:hAnsi="Times New Roman" w:cs="Times New Roman"/>
          <w:sz w:val="24"/>
          <w:szCs w:val="24"/>
        </w:rPr>
        <w:t xml:space="preserve"> (1997) </w:t>
      </w:r>
      <w:hyperlink r:id="rId16" w:history="1">
        <w:r w:rsidRPr="00D60028">
          <w:rPr>
            <w:rFonts w:ascii="Times New Roman" w:hAnsi="Times New Roman" w:cs="Times New Roman"/>
            <w:color w:val="0000FF"/>
            <w:sz w:val="24"/>
            <w:szCs w:val="24"/>
            <w:u w:val="single"/>
          </w:rPr>
          <w:t>54 Cal.App.4th 1102</w:t>
        </w:r>
      </w:hyperlink>
      <w:r w:rsidRPr="00D60028">
        <w:rPr>
          <w:rFonts w:ascii="Times New Roman" w:hAnsi="Times New Roman" w:cs="Times New Roman"/>
          <w:sz w:val="24"/>
          <w:szCs w:val="24"/>
        </w:rPr>
        <w:t>, 1111--1112.)</w:t>
      </w:r>
      <w:proofErr w:type="gramEnd"/>
      <w:r w:rsidRPr="00D60028">
        <w:rPr>
          <w:rFonts w:ascii="Times New Roman" w:hAnsi="Times New Roman" w:cs="Times New Roman"/>
          <w:sz w:val="24"/>
          <w:szCs w:val="24"/>
        </w:rPr>
        <w:t xml:space="preserve">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The interpretation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had asserted below and in the briefing here would violate these fundamental principles of contract interpretation. Were we to adopt that interpretation,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would have sole control over the formation of the contract despite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full performance, simply by refusing to return a signed copy to her. Moreover, such an interpretation would conflict with language in the first paragraph of the Modification Agreement: "If my representations in Section 1 continue to be true in all material respects, then this Home Affordable Modification Agreement ('Agreement') will, as set forth in Section 3, amend and supplement (1) the Mortgage on the Property, and (2) the Note secured by the Mortgage."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2.</w:t>
      </w:r>
      <w:r w:rsidRPr="00D60028">
        <w:rPr>
          <w:rFonts w:ascii="Times New Roman" w:hAnsi="Times New Roman" w:cs="Times New Roman"/>
          <w:i/>
          <w:iCs/>
          <w:sz w:val="24"/>
          <w:szCs w:val="24"/>
        </w:rPr>
        <w:t xml:space="preserve"> Time of the Essence</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Each plan declared that time was of the essence. Defendants contend that no agreement to modify the loan documents was formed because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failed to sign the Revised Modification Agreement by the October 30, 2009 deadline. But no issue is raised regarding the timeliness of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signature on the Trial Period Plan and the Modified Agreement in July 2009.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B.</w:t>
      </w:r>
      <w:r w:rsidRPr="00D60028">
        <w:rPr>
          <w:rFonts w:ascii="Times New Roman" w:hAnsi="Times New Roman" w:cs="Times New Roman"/>
          <w:i/>
          <w:iCs/>
          <w:sz w:val="24"/>
          <w:szCs w:val="24"/>
        </w:rPr>
        <w:t xml:space="preserve"> Summary</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We conclude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adequately alleged the existence of a valid Modification Agreement signed by her in July 2009. The record on this demurrer does not establish a requirement that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signature on that agreement be notarized. The failure of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to send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 signed copy of the agreement is not a condition precedent barring formation of the binding modification agreement. No argument is made that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signature on July 3, 2009 was untimely.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that she made payments under the Modification Agreement in August, September, October, and November 2009 when due. She made additional payments, which are alleged to have been under the Revised Modification Agreement, in December 2009 and January, February, March, and April 2010. Paragraph 21 alleges {Slip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 xml:space="preserve">. Page 14}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had auctioned the property at a foreclosure sale "notwithstanding Plaintiff having made </w:t>
      </w:r>
      <w:r w:rsidRPr="00D60028">
        <w:rPr>
          <w:rFonts w:ascii="Times New Roman" w:hAnsi="Times New Roman" w:cs="Times New Roman"/>
          <w:sz w:val="24"/>
          <w:szCs w:val="24"/>
        </w:rPr>
        <w:lastRenderedPageBreak/>
        <w:t xml:space="preserve">all the payments required under the Trial Period Plan, the Modification Agreement and the Revised Modification Agreement . . . ."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Paragraph 23 of the complaint alleges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offered three agreements (the Trial Period Plan, the Modification Agreement, and the Revised Modification Agreement) and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accepted each.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that the Trial Period Plan was completely performed, and that the Modification Agreement and Revised Modification Agreement were partially performed. We construe the allegation of partial performance of the Modification Agreement in the context of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allegation that she made all the payments due under that plan up to the foreclosure sale. The Modification Agreement created a new maturity date for the loan of September 1, 2049 with monthly payments scheduled until that date. We conclude that she alleged only partial performance of the Modification Agreement since her obligation to make monthly mortgage payments extended beyond the foreclosure date.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breached the agreements by "failing to honor the terms of the agreements, wrongly proceeding to foreclosure sale, and wrongfully selling the Property at a trustee [sale] without offering Plaintiff any 'alternatives that may be available to avoid foreclosure' as represented in the May 26, 2010 letter (Exhibit 'F') and allowing title to the Property [to] revert to the beneficiary." She sought damages based on her loss of title to the property, for fees and costs, and other incidental expenses.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The trial court erred in sustaining the demurrer to the cause of action for breach of contract to the extent it is based on the Modification Agreement. But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did fail to have her signature on the Revised Modification Agreement notarized, as required. In addition, both the allegations of the complaint and the Revised Modification Agreement itself establish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signed it on December 11, 2009, well beyond the October 30, 2009 deadline for accepting that offer. We therefore conclude that the demurrer was properly sustained to the extent the cause of action for breach of contract is based on the Revised Modification Agreement. </w:t>
      </w:r>
      <w:proofErr w:type="gramStart"/>
      <w:r w:rsidRPr="00D60028">
        <w:rPr>
          <w:rFonts w:ascii="Times New Roman" w:hAnsi="Times New Roman" w:cs="Times New Roman"/>
          <w:sz w:val="24"/>
          <w:szCs w:val="24"/>
        </w:rPr>
        <w:t xml:space="preserve">{Slip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Page 15}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These conclusions guide our determination as to whether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should have been granted leave to amend to allege a cause of action for breach of the implied covenant of good faith and fair dealing based on </w:t>
      </w:r>
      <w:proofErr w:type="spellStart"/>
      <w:r w:rsidRPr="00D60028">
        <w:rPr>
          <w:rFonts w:ascii="Times New Roman" w:hAnsi="Times New Roman" w:cs="Times New Roman"/>
          <w:sz w:val="24"/>
          <w:szCs w:val="24"/>
        </w:rPr>
        <w:t>Ocwen's</w:t>
      </w:r>
      <w:proofErr w:type="spellEnd"/>
      <w:r w:rsidRPr="00D60028">
        <w:rPr>
          <w:rFonts w:ascii="Times New Roman" w:hAnsi="Times New Roman" w:cs="Times New Roman"/>
          <w:sz w:val="24"/>
          <w:szCs w:val="24"/>
        </w:rPr>
        <w:t xml:space="preserve"> failure to modify her loan documents. "It has long been recognized, of course, that every contract imposes upon each party a duty of good faith and fair dealing in the performance of the contract such that neither party shall do anything which will have the effect of destroying or injuring the right of the other party to receive the fruits of the contract.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The Supreme Court has clarified, however, that an implied covenant of good faith and fair dealing cannot contradict the express terms of a contract. </w:t>
      </w:r>
      <w:proofErr w:type="gramStart"/>
      <w:r w:rsidRPr="00D60028">
        <w:rPr>
          <w:rFonts w:ascii="Times New Roman" w:hAnsi="Times New Roman" w:cs="Times New Roman"/>
          <w:sz w:val="24"/>
          <w:szCs w:val="24"/>
        </w:rPr>
        <w:t>(</w:t>
      </w:r>
      <w:proofErr w:type="spellStart"/>
      <w:r w:rsidRPr="00D60028">
        <w:rPr>
          <w:rFonts w:ascii="Times New Roman" w:hAnsi="Times New Roman" w:cs="Times New Roman"/>
          <w:i/>
          <w:iCs/>
          <w:sz w:val="24"/>
          <w:szCs w:val="24"/>
        </w:rPr>
        <w:t>Carma</w:t>
      </w:r>
      <w:proofErr w:type="spellEnd"/>
      <w:r w:rsidRPr="00D60028">
        <w:rPr>
          <w:rFonts w:ascii="Times New Roman" w:hAnsi="Times New Roman" w:cs="Times New Roman"/>
          <w:i/>
          <w:iCs/>
          <w:sz w:val="24"/>
          <w:szCs w:val="24"/>
        </w:rPr>
        <w:t xml:space="preserve"> Developers (Cal.), Inc. v. Marathon Development California, Inc.</w:t>
      </w:r>
      <w:r w:rsidRPr="00D60028">
        <w:rPr>
          <w:rFonts w:ascii="Times New Roman" w:hAnsi="Times New Roman" w:cs="Times New Roman"/>
          <w:sz w:val="24"/>
          <w:szCs w:val="24"/>
        </w:rPr>
        <w:t xml:space="preserve"> (1992) </w:t>
      </w:r>
      <w:hyperlink r:id="rId17" w:history="1">
        <w:r w:rsidRPr="00D60028">
          <w:rPr>
            <w:rFonts w:ascii="Times New Roman" w:hAnsi="Times New Roman" w:cs="Times New Roman"/>
            <w:color w:val="0000FF"/>
            <w:sz w:val="24"/>
            <w:szCs w:val="24"/>
            <w:u w:val="single"/>
          </w:rPr>
          <w:t>2 Cal.4th 342</w:t>
        </w:r>
      </w:hyperlink>
      <w:r w:rsidRPr="00D60028">
        <w:rPr>
          <w:rFonts w:ascii="Times New Roman" w:hAnsi="Times New Roman" w:cs="Times New Roman"/>
          <w:sz w:val="24"/>
          <w:szCs w:val="24"/>
        </w:rPr>
        <w:t>, 374 (</w:t>
      </w:r>
      <w:proofErr w:type="spellStart"/>
      <w:r w:rsidRPr="00D60028">
        <w:rPr>
          <w:rFonts w:ascii="Times New Roman" w:hAnsi="Times New Roman" w:cs="Times New Roman"/>
          <w:i/>
          <w:iCs/>
          <w:sz w:val="24"/>
          <w:szCs w:val="24"/>
        </w:rPr>
        <w:t>Carma</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[Footnote omitted.]" (</w:t>
      </w:r>
      <w:proofErr w:type="spellStart"/>
      <w:r w:rsidRPr="00D60028">
        <w:rPr>
          <w:rFonts w:ascii="Times New Roman" w:hAnsi="Times New Roman" w:cs="Times New Roman"/>
          <w:i/>
          <w:iCs/>
          <w:sz w:val="24"/>
          <w:szCs w:val="24"/>
        </w:rPr>
        <w:t>Storek</w:t>
      </w:r>
      <w:proofErr w:type="spellEnd"/>
      <w:r w:rsidRPr="00D60028">
        <w:rPr>
          <w:rFonts w:ascii="Times New Roman" w:hAnsi="Times New Roman" w:cs="Times New Roman"/>
          <w:i/>
          <w:iCs/>
          <w:sz w:val="24"/>
          <w:szCs w:val="24"/>
        </w:rPr>
        <w:t xml:space="preserve"> &amp; </w:t>
      </w:r>
      <w:proofErr w:type="spellStart"/>
      <w:r w:rsidRPr="00D60028">
        <w:rPr>
          <w:rFonts w:ascii="Times New Roman" w:hAnsi="Times New Roman" w:cs="Times New Roman"/>
          <w:i/>
          <w:iCs/>
          <w:sz w:val="24"/>
          <w:szCs w:val="24"/>
        </w:rPr>
        <w:t>Storek</w:t>
      </w:r>
      <w:proofErr w:type="spellEnd"/>
      <w:r w:rsidRPr="00D60028">
        <w:rPr>
          <w:rFonts w:ascii="Times New Roman" w:hAnsi="Times New Roman" w:cs="Times New Roman"/>
          <w:i/>
          <w:iCs/>
          <w:sz w:val="24"/>
          <w:szCs w:val="24"/>
        </w:rPr>
        <w:t xml:space="preserve">, Inc. </w:t>
      </w:r>
      <w:proofErr w:type="gramStart"/>
      <w:r w:rsidRPr="00D60028">
        <w:rPr>
          <w:rFonts w:ascii="Times New Roman" w:hAnsi="Times New Roman" w:cs="Times New Roman"/>
          <w:i/>
          <w:iCs/>
          <w:sz w:val="24"/>
          <w:szCs w:val="24"/>
        </w:rPr>
        <w:t>v. Citicorp Real Estate, Inc.</w:t>
      </w:r>
      <w:r w:rsidRPr="00D60028">
        <w:rPr>
          <w:rFonts w:ascii="Times New Roman" w:hAnsi="Times New Roman" w:cs="Times New Roman"/>
          <w:sz w:val="24"/>
          <w:szCs w:val="24"/>
        </w:rPr>
        <w:t xml:space="preserve"> (2002) </w:t>
      </w:r>
      <w:hyperlink r:id="rId18" w:history="1">
        <w:r w:rsidRPr="00D60028">
          <w:rPr>
            <w:rFonts w:ascii="Times New Roman" w:hAnsi="Times New Roman" w:cs="Times New Roman"/>
            <w:color w:val="0000FF"/>
            <w:sz w:val="24"/>
            <w:szCs w:val="24"/>
            <w:u w:val="single"/>
          </w:rPr>
          <w:t>100 Cal.App.4th 44</w:t>
        </w:r>
      </w:hyperlink>
      <w:r w:rsidRPr="00D60028">
        <w:rPr>
          <w:rFonts w:ascii="Times New Roman" w:hAnsi="Times New Roman" w:cs="Times New Roman"/>
          <w:sz w:val="24"/>
          <w:szCs w:val="24"/>
        </w:rPr>
        <w:t>, 55</w:t>
      </w:r>
      <w:proofErr w:type="gramEnd"/>
      <w:r w:rsidRPr="00D60028">
        <w:rPr>
          <w:rFonts w:ascii="Times New Roman" w:hAnsi="Times New Roman" w:cs="Times New Roman"/>
          <w:sz w:val="24"/>
          <w:szCs w:val="24"/>
        </w:rPr>
        <w:t xml:space="preserve">.) "The implied covenant of good faith and fair dealing rests upon the existence of some specific contractual obligation.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 xml:space="preserve">Foley v. Interactive Data Corp. </w:t>
      </w:r>
      <w:r w:rsidRPr="00D60028">
        <w:rPr>
          <w:rFonts w:ascii="Times New Roman" w:hAnsi="Times New Roman" w:cs="Times New Roman"/>
          <w:sz w:val="24"/>
          <w:szCs w:val="24"/>
        </w:rPr>
        <w:t xml:space="preserve">(1988) </w:t>
      </w:r>
      <w:hyperlink r:id="rId19" w:history="1">
        <w:r w:rsidRPr="00D60028">
          <w:rPr>
            <w:rFonts w:ascii="Times New Roman" w:hAnsi="Times New Roman" w:cs="Times New Roman"/>
            <w:color w:val="0000FF"/>
            <w:sz w:val="24"/>
            <w:szCs w:val="24"/>
            <w:u w:val="single"/>
          </w:rPr>
          <w:t>47 Cal.3d 654</w:t>
        </w:r>
      </w:hyperlink>
      <w:r w:rsidRPr="00D60028">
        <w:rPr>
          <w:rFonts w:ascii="Times New Roman" w:hAnsi="Times New Roman" w:cs="Times New Roman"/>
          <w:sz w:val="24"/>
          <w:szCs w:val="24"/>
        </w:rPr>
        <w:t>, 683--684.)"</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 xml:space="preserve">Racine &amp; Laramie, Ltd. v. Department of Parks &amp; Recreation </w:t>
      </w:r>
      <w:r w:rsidRPr="00D60028">
        <w:rPr>
          <w:rFonts w:ascii="Times New Roman" w:hAnsi="Times New Roman" w:cs="Times New Roman"/>
          <w:sz w:val="24"/>
          <w:szCs w:val="24"/>
        </w:rPr>
        <w:t xml:space="preserve">(1992) </w:t>
      </w:r>
      <w:hyperlink r:id="rId20" w:history="1">
        <w:r w:rsidRPr="00D60028">
          <w:rPr>
            <w:rFonts w:ascii="Times New Roman" w:hAnsi="Times New Roman" w:cs="Times New Roman"/>
            <w:color w:val="0000FF"/>
            <w:sz w:val="24"/>
            <w:szCs w:val="24"/>
            <w:u w:val="single"/>
          </w:rPr>
          <w:t>11 Cal.App.4th 1026</w:t>
        </w:r>
      </w:hyperlink>
      <w:r w:rsidRPr="00D60028">
        <w:rPr>
          <w:rFonts w:ascii="Times New Roman" w:hAnsi="Times New Roman" w:cs="Times New Roman"/>
          <w:sz w:val="24"/>
          <w:szCs w:val="24"/>
        </w:rPr>
        <w:t>, 1031.)</w:t>
      </w:r>
      <w:proofErr w:type="gramEnd"/>
      <w:r w:rsidRPr="00D60028">
        <w:rPr>
          <w:rFonts w:ascii="Times New Roman" w:hAnsi="Times New Roman" w:cs="Times New Roman"/>
          <w:sz w:val="24"/>
          <w:szCs w:val="24"/>
        </w:rPr>
        <w:t xml:space="preserve"> Under the terms of the Modification Agreement,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was obligated to modify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loan documents. Instead, it foreclosed on the property despite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payments and sold it. On remand,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is to have leave to amend to allege a cause of action for breach of the </w:t>
      </w:r>
      <w:r w:rsidRPr="00D60028">
        <w:rPr>
          <w:rFonts w:ascii="Times New Roman" w:hAnsi="Times New Roman" w:cs="Times New Roman"/>
          <w:sz w:val="24"/>
          <w:szCs w:val="24"/>
        </w:rPr>
        <w:lastRenderedPageBreak/>
        <w:t xml:space="preserve">implied covenant with respect to the Modification Agreement, but not the Revised Modification Agreement. </w:t>
      </w:r>
    </w:p>
    <w:p w:rsidR="00D60028" w:rsidRPr="00D60028" w:rsidRDefault="00D60028" w:rsidP="00D60028">
      <w:pPr>
        <w:jc w:val="center"/>
        <w:rPr>
          <w:rFonts w:ascii="Times New Roman" w:hAnsi="Times New Roman" w:cs="Times New Roman"/>
          <w:sz w:val="24"/>
          <w:szCs w:val="24"/>
        </w:rPr>
      </w:pPr>
      <w:r w:rsidRPr="00D60028">
        <w:rPr>
          <w:rFonts w:ascii="Times New Roman" w:hAnsi="Times New Roman" w:cs="Times New Roman"/>
          <w:b/>
          <w:bCs/>
          <w:sz w:val="24"/>
          <w:szCs w:val="24"/>
        </w:rPr>
        <w:t>II</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Our conclusion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has alleged an enforceable Modification Agreement renders discussion of some of her alternative arguments unnecessary.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A.</w:t>
      </w:r>
      <w:r w:rsidRPr="00D60028">
        <w:rPr>
          <w:rFonts w:ascii="Times New Roman" w:hAnsi="Times New Roman" w:cs="Times New Roman"/>
          <w:i/>
          <w:iCs/>
          <w:sz w:val="24"/>
          <w:szCs w:val="24"/>
        </w:rPr>
        <w:t xml:space="preserve"> Waiver by Acceptance of Payments</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joined by amici, argues that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waived enforcement of the conditions precedent by accepting nine payments she made under the modifications, through March 2010.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relies on language in the Modification Agreement and Revised Modification Agreement providing that unless modified, the terms of the original loan documents remain in full force and effect. The original deed of trust states that the lender {Slip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 xml:space="preserve">. Page 16} may accept any payment or partial payment without waiver of any rights. Similar language appears in the original deed of trust. In light of our conclusion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has alleged an enforceable Modification Agreement, we need not reach this argument.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B.</w:t>
      </w:r>
      <w:r w:rsidRPr="00D60028">
        <w:rPr>
          <w:rFonts w:ascii="Times New Roman" w:hAnsi="Times New Roman" w:cs="Times New Roman"/>
          <w:i/>
          <w:iCs/>
          <w:sz w:val="24"/>
          <w:szCs w:val="24"/>
        </w:rPr>
        <w:t xml:space="preserve"> Statute of Frauds</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makes the alternative argument that the statute of frauds does not apply because she fully performed under the agreements.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does not appear to rely on the statute of frauds on appeal and it was not raised as an affirmative defense in the demurrer, as required. (</w:t>
      </w:r>
      <w:r w:rsidRPr="00D60028">
        <w:rPr>
          <w:rFonts w:ascii="Times New Roman" w:hAnsi="Times New Roman" w:cs="Times New Roman"/>
          <w:i/>
          <w:iCs/>
          <w:sz w:val="24"/>
          <w:szCs w:val="24"/>
        </w:rPr>
        <w:t xml:space="preserve">Ladd </w:t>
      </w:r>
      <w:proofErr w:type="gramStart"/>
      <w:r w:rsidRPr="00D60028">
        <w:rPr>
          <w:rFonts w:ascii="Times New Roman" w:hAnsi="Times New Roman" w:cs="Times New Roman"/>
          <w:i/>
          <w:iCs/>
          <w:sz w:val="24"/>
          <w:szCs w:val="24"/>
        </w:rPr>
        <w:t xml:space="preserve">v. Warner Bros. Entertainment, Inc. </w:t>
      </w:r>
      <w:r w:rsidRPr="00D60028">
        <w:rPr>
          <w:rFonts w:ascii="Times New Roman" w:hAnsi="Times New Roman" w:cs="Times New Roman"/>
          <w:sz w:val="24"/>
          <w:szCs w:val="24"/>
        </w:rPr>
        <w:t xml:space="preserve">(2010) </w:t>
      </w:r>
      <w:hyperlink r:id="rId21" w:history="1">
        <w:r w:rsidRPr="00D60028">
          <w:rPr>
            <w:rFonts w:ascii="Times New Roman" w:hAnsi="Times New Roman" w:cs="Times New Roman"/>
            <w:color w:val="0000FF"/>
            <w:sz w:val="24"/>
            <w:szCs w:val="24"/>
            <w:u w:val="single"/>
          </w:rPr>
          <w:t>184 Cal.App.4th 1298</w:t>
        </w:r>
      </w:hyperlink>
      <w:r w:rsidRPr="00D60028">
        <w:rPr>
          <w:rFonts w:ascii="Times New Roman" w:hAnsi="Times New Roman" w:cs="Times New Roman"/>
          <w:sz w:val="24"/>
          <w:szCs w:val="24"/>
        </w:rPr>
        <w:t>, 1309</w:t>
      </w:r>
      <w:proofErr w:type="gramEnd"/>
      <w:r w:rsidRPr="00D60028">
        <w:rPr>
          <w:rFonts w:ascii="Times New Roman" w:hAnsi="Times New Roman" w:cs="Times New Roman"/>
          <w:sz w:val="24"/>
          <w:szCs w:val="24"/>
        </w:rPr>
        <w:t>, fn. 8.) We therefore need not discuss that issue.</w:t>
      </w:r>
    </w:p>
    <w:p w:rsidR="00D60028" w:rsidRPr="00D60028" w:rsidRDefault="00D60028" w:rsidP="00D60028">
      <w:pPr>
        <w:jc w:val="center"/>
        <w:rPr>
          <w:rFonts w:ascii="Times New Roman" w:hAnsi="Times New Roman" w:cs="Times New Roman"/>
          <w:sz w:val="24"/>
          <w:szCs w:val="24"/>
        </w:rPr>
      </w:pPr>
      <w:r w:rsidRPr="00D60028">
        <w:rPr>
          <w:rFonts w:ascii="Times New Roman" w:hAnsi="Times New Roman" w:cs="Times New Roman"/>
          <w:b/>
          <w:bCs/>
          <w:sz w:val="24"/>
          <w:szCs w:val="24"/>
        </w:rPr>
        <w:t>III</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also argues she should have been given leave to amend to allege causes of action for promissory estoppel and wrongful foreclosure.</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A.</w:t>
      </w:r>
      <w:r w:rsidRPr="00D60028">
        <w:rPr>
          <w:rFonts w:ascii="Times New Roman" w:hAnsi="Times New Roman" w:cs="Times New Roman"/>
          <w:i/>
          <w:iCs/>
          <w:sz w:val="24"/>
          <w:szCs w:val="24"/>
        </w:rPr>
        <w:t xml:space="preserve"> Promissory Estoppel</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"'"Promissory estoppel is 'a doctrine which employs equitable principles to satisfy the requirement that consideration must be given in exchange for the promise sought to be enforced.'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Because promissory estoppel is an equitable doctrine to allow enforcement of a promise that would otherwise be unenforceable, courts are given wide discretion in its application. </w:t>
      </w:r>
      <w:proofErr w:type="gramStart"/>
      <w:r w:rsidRPr="00D60028">
        <w:rPr>
          <w:rFonts w:ascii="Times New Roman" w:hAnsi="Times New Roman" w:cs="Times New Roman"/>
          <w:sz w:val="24"/>
          <w:szCs w:val="24"/>
        </w:rPr>
        <w:t>[Citations.]'</w:t>
      </w:r>
      <w:proofErr w:type="gramEnd"/>
      <w:r w:rsidRPr="00D60028">
        <w:rPr>
          <w:rFonts w:ascii="Times New Roman" w:hAnsi="Times New Roman" w:cs="Times New Roman"/>
          <w:sz w:val="24"/>
          <w:szCs w:val="24"/>
        </w:rPr>
        <w:t xml:space="preserve"> (</w:t>
      </w:r>
      <w:r w:rsidRPr="00D60028">
        <w:rPr>
          <w:rFonts w:ascii="Times New Roman" w:hAnsi="Times New Roman" w:cs="Times New Roman"/>
          <w:i/>
          <w:iCs/>
          <w:sz w:val="24"/>
          <w:szCs w:val="24"/>
        </w:rPr>
        <w:t xml:space="preserve">US Ecology, Inc. </w:t>
      </w:r>
      <w:proofErr w:type="gramStart"/>
      <w:r w:rsidRPr="00D60028">
        <w:rPr>
          <w:rFonts w:ascii="Times New Roman" w:hAnsi="Times New Roman" w:cs="Times New Roman"/>
          <w:i/>
          <w:iCs/>
          <w:sz w:val="24"/>
          <w:szCs w:val="24"/>
        </w:rPr>
        <w:t>v. State of California</w:t>
      </w:r>
      <w:r w:rsidRPr="00D60028">
        <w:rPr>
          <w:rFonts w:ascii="Times New Roman" w:hAnsi="Times New Roman" w:cs="Times New Roman"/>
          <w:sz w:val="24"/>
          <w:szCs w:val="24"/>
        </w:rPr>
        <w:t xml:space="preserve"> (2005) </w:t>
      </w:r>
      <w:hyperlink r:id="rId22" w:history="1">
        <w:r w:rsidRPr="00D60028">
          <w:rPr>
            <w:rFonts w:ascii="Times New Roman" w:hAnsi="Times New Roman" w:cs="Times New Roman"/>
            <w:color w:val="0000FF"/>
            <w:sz w:val="24"/>
            <w:szCs w:val="24"/>
            <w:u w:val="single"/>
          </w:rPr>
          <w:t>129 Cal.App.4th 887</w:t>
        </w:r>
      </w:hyperlink>
      <w:r w:rsidRPr="00D60028">
        <w:rPr>
          <w:rFonts w:ascii="Times New Roman" w:hAnsi="Times New Roman" w:cs="Times New Roman"/>
          <w:sz w:val="24"/>
          <w:szCs w:val="24"/>
        </w:rPr>
        <w:t>, 901--902</w:t>
      </w:r>
      <w:proofErr w:type="gramEnd"/>
      <w:r w:rsidRPr="00D60028">
        <w:rPr>
          <w:rFonts w:ascii="Times New Roman" w:hAnsi="Times New Roman" w:cs="Times New Roman"/>
          <w:sz w:val="24"/>
          <w:szCs w:val="24"/>
        </w:rPr>
        <w:t xml:space="preserve">.) 'The elements of a promissory estoppel claim are "(1) a promise clear and unambiguous in its terms; (2) reliance by the party to whom the promise is made; (3) [the] reliance must be both reasonable and foreseeable; and (4) the party asserting the estoppel must be injured by his reliance."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Id.</w:t>
      </w:r>
      <w:r w:rsidRPr="00D60028">
        <w:rPr>
          <w:rFonts w:ascii="Times New Roman" w:hAnsi="Times New Roman" w:cs="Times New Roman"/>
          <w:sz w:val="24"/>
          <w:szCs w:val="24"/>
        </w:rPr>
        <w:t xml:space="preserve"> at p. 901.)"</w:t>
      </w:r>
      <w:proofErr w:type="gramEnd"/>
      <w:r w:rsidRPr="00D60028">
        <w:rPr>
          <w:rFonts w:ascii="Times New Roman" w:hAnsi="Times New Roman" w:cs="Times New Roman"/>
          <w:sz w:val="24"/>
          <w:szCs w:val="24"/>
        </w:rPr>
        <w:t xml:space="preserve"> (</w:t>
      </w:r>
      <w:proofErr w:type="spellStart"/>
      <w:r w:rsidRPr="00D60028">
        <w:rPr>
          <w:rFonts w:ascii="Times New Roman" w:hAnsi="Times New Roman" w:cs="Times New Roman"/>
          <w:i/>
          <w:iCs/>
          <w:sz w:val="24"/>
          <w:szCs w:val="24"/>
        </w:rPr>
        <w:t>Joffe</w:t>
      </w:r>
      <w:proofErr w:type="spellEnd"/>
      <w:r w:rsidRPr="00D60028">
        <w:rPr>
          <w:rFonts w:ascii="Times New Roman" w:hAnsi="Times New Roman" w:cs="Times New Roman"/>
          <w:i/>
          <w:iCs/>
          <w:sz w:val="24"/>
          <w:szCs w:val="24"/>
        </w:rPr>
        <w:t xml:space="preserve"> v. City of Huntington Park</w:t>
      </w:r>
      <w:r w:rsidRPr="00D60028">
        <w:rPr>
          <w:rFonts w:ascii="Times New Roman" w:hAnsi="Times New Roman" w:cs="Times New Roman"/>
          <w:sz w:val="24"/>
          <w:szCs w:val="24"/>
        </w:rPr>
        <w:t xml:space="preserve"> (2011) </w:t>
      </w:r>
      <w:hyperlink r:id="rId23" w:history="1">
        <w:r w:rsidRPr="00D60028">
          <w:rPr>
            <w:rFonts w:ascii="Times New Roman" w:hAnsi="Times New Roman" w:cs="Times New Roman"/>
            <w:color w:val="0000FF"/>
            <w:sz w:val="24"/>
            <w:szCs w:val="24"/>
            <w:u w:val="single"/>
          </w:rPr>
          <w:t>201 Cal.App.4th 492</w:t>
        </w:r>
      </w:hyperlink>
      <w:r w:rsidRPr="00D60028">
        <w:rPr>
          <w:rFonts w:ascii="Times New Roman" w:hAnsi="Times New Roman" w:cs="Times New Roman"/>
          <w:sz w:val="24"/>
          <w:szCs w:val="24"/>
        </w:rPr>
        <w:t xml:space="preserve">, 513; see also </w:t>
      </w:r>
      <w:proofErr w:type="spellStart"/>
      <w:r w:rsidRPr="00D60028">
        <w:rPr>
          <w:rFonts w:ascii="Times New Roman" w:hAnsi="Times New Roman" w:cs="Times New Roman"/>
          <w:i/>
          <w:iCs/>
          <w:sz w:val="24"/>
          <w:szCs w:val="24"/>
        </w:rPr>
        <w:t>Aceves</w:t>
      </w:r>
      <w:proofErr w:type="spellEnd"/>
      <w:r w:rsidRPr="00D60028">
        <w:rPr>
          <w:rFonts w:ascii="Times New Roman" w:hAnsi="Times New Roman" w:cs="Times New Roman"/>
          <w:i/>
          <w:iCs/>
          <w:sz w:val="24"/>
          <w:szCs w:val="24"/>
        </w:rPr>
        <w:t xml:space="preserve"> v. U.S. Bank N.A. </w:t>
      </w:r>
      <w:r w:rsidRPr="00D60028">
        <w:rPr>
          <w:rFonts w:ascii="Times New Roman" w:hAnsi="Times New Roman" w:cs="Times New Roman"/>
          <w:sz w:val="24"/>
          <w:szCs w:val="24"/>
        </w:rPr>
        <w:t xml:space="preserve">(2011) </w:t>
      </w:r>
      <w:hyperlink r:id="rId24" w:history="1">
        <w:r w:rsidRPr="00D60028">
          <w:rPr>
            <w:rFonts w:ascii="Times New Roman" w:hAnsi="Times New Roman" w:cs="Times New Roman"/>
            <w:color w:val="0000FF"/>
            <w:sz w:val="24"/>
            <w:szCs w:val="24"/>
            <w:u w:val="single"/>
          </w:rPr>
          <w:t>192 Cal.App.4th 218</w:t>
        </w:r>
      </w:hyperlink>
      <w:r w:rsidRPr="00D60028">
        <w:rPr>
          <w:rFonts w:ascii="Times New Roman" w:hAnsi="Times New Roman" w:cs="Times New Roman"/>
          <w:sz w:val="24"/>
          <w:szCs w:val="24"/>
        </w:rPr>
        <w:t>, 225.)</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lastRenderedPageBreak/>
        <w:t xml:space="preserve">Since the doctrine of promissory estoppel is applied where there is no enforceable promise, it does not apply here in light of our conclusion that </w:t>
      </w:r>
      <w:proofErr w:type="spellStart"/>
      <w:r w:rsidRPr="00D60028">
        <w:rPr>
          <w:rFonts w:ascii="Times New Roman" w:hAnsi="Times New Roman" w:cs="Times New Roman"/>
          <w:sz w:val="24"/>
          <w:szCs w:val="24"/>
        </w:rPr>
        <w:t>Ocwen's</w:t>
      </w:r>
      <w:proofErr w:type="spellEnd"/>
      <w:r w:rsidRPr="00D60028">
        <w:rPr>
          <w:rFonts w:ascii="Times New Roman" w:hAnsi="Times New Roman" w:cs="Times New Roman"/>
          <w:sz w:val="24"/>
          <w:szCs w:val="24"/>
        </w:rPr>
        <w:t xml:space="preserve"> promise to modify {Slip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 xml:space="preserve">. Page 17} the loan documents under the Modification Agreement was enforceable. It follows that no amendment to add such a cause of action is necessary.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B.</w:t>
      </w:r>
      <w:r w:rsidRPr="00D60028">
        <w:rPr>
          <w:rFonts w:ascii="Times New Roman" w:hAnsi="Times New Roman" w:cs="Times New Roman"/>
          <w:i/>
          <w:iCs/>
          <w:sz w:val="24"/>
          <w:szCs w:val="24"/>
        </w:rPr>
        <w:t xml:space="preserve"> Wrongful Foreclosure</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In her reply brief,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concedes that she did not allege a cause of action for statutory wrongful foreclosure. Instead, she correctly contends that California recognizes a cause of action for wrongful foreclosure under equitable principles. </w:t>
      </w:r>
      <w:bookmarkStart w:id="4" w:name="A0005"/>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"B0005" </w:instrText>
      </w:r>
      <w:r w:rsidRPr="00D60028">
        <w:rPr>
          <w:rFonts w:ascii="Times New Roman" w:hAnsi="Times New Roman" w:cs="Times New Roman"/>
          <w:sz w:val="24"/>
          <w:szCs w:val="24"/>
        </w:rPr>
        <w:fldChar w:fldCharType="separate"/>
      </w:r>
      <w:proofErr w:type="gramStart"/>
      <w:r w:rsidRPr="00D60028">
        <w:rPr>
          <w:rFonts w:ascii="Times New Roman" w:hAnsi="Times New Roman" w:cs="Times New Roman"/>
          <w:color w:val="0000FF"/>
          <w:sz w:val="24"/>
          <w:szCs w:val="24"/>
          <w:u w:val="single"/>
        </w:rPr>
        <w:t>fn. 5</w:t>
      </w:r>
      <w:r w:rsidRPr="00D60028">
        <w:rPr>
          <w:rFonts w:ascii="Times New Roman" w:hAnsi="Times New Roman" w:cs="Times New Roman"/>
          <w:sz w:val="24"/>
          <w:szCs w:val="24"/>
        </w:rPr>
        <w:fldChar w:fldCharType="end"/>
      </w:r>
      <w:bookmarkEnd w:id="4"/>
      <w:r w:rsidRPr="00D60028">
        <w:rPr>
          <w:rFonts w:ascii="Times New Roman" w:hAnsi="Times New Roman" w:cs="Times New Roman"/>
          <w:sz w:val="24"/>
          <w:szCs w:val="24"/>
        </w:rPr>
        <w:t xml:space="preserve"> (</w:t>
      </w:r>
      <w:proofErr w:type="spellStart"/>
      <w:r w:rsidRPr="00D60028">
        <w:rPr>
          <w:rFonts w:ascii="Times New Roman" w:hAnsi="Times New Roman" w:cs="Times New Roman"/>
          <w:i/>
          <w:iCs/>
          <w:sz w:val="24"/>
          <w:szCs w:val="24"/>
        </w:rPr>
        <w:t>Stebley</w:t>
      </w:r>
      <w:proofErr w:type="spellEnd"/>
      <w:r w:rsidRPr="00D60028">
        <w:rPr>
          <w:rFonts w:ascii="Times New Roman" w:hAnsi="Times New Roman" w:cs="Times New Roman"/>
          <w:i/>
          <w:iCs/>
          <w:sz w:val="24"/>
          <w:szCs w:val="24"/>
        </w:rPr>
        <w:t xml:space="preserve"> v. Litton Loan Servicing, LLP </w:t>
      </w:r>
      <w:r w:rsidRPr="00D60028">
        <w:rPr>
          <w:rFonts w:ascii="Times New Roman" w:hAnsi="Times New Roman" w:cs="Times New Roman"/>
          <w:sz w:val="24"/>
          <w:szCs w:val="24"/>
        </w:rPr>
        <w:t xml:space="preserve">(2011) </w:t>
      </w:r>
      <w:hyperlink r:id="rId25" w:history="1">
        <w:r w:rsidRPr="00D60028">
          <w:rPr>
            <w:rFonts w:ascii="Times New Roman" w:hAnsi="Times New Roman" w:cs="Times New Roman"/>
            <w:color w:val="0000FF"/>
            <w:sz w:val="24"/>
            <w:szCs w:val="24"/>
            <w:u w:val="single"/>
          </w:rPr>
          <w:t>202 Cal.App.4th 522</w:t>
        </w:r>
      </w:hyperlink>
      <w:r w:rsidRPr="00D60028">
        <w:rPr>
          <w:rFonts w:ascii="Times New Roman" w:hAnsi="Times New Roman" w:cs="Times New Roman"/>
          <w:sz w:val="24"/>
          <w:szCs w:val="24"/>
        </w:rPr>
        <w:t>, 526.)</w:t>
      </w:r>
      <w:proofErr w:type="gramEnd"/>
      <w:r w:rsidRPr="00D60028">
        <w:rPr>
          <w:rFonts w:ascii="Times New Roman" w:hAnsi="Times New Roman" w:cs="Times New Roman"/>
          <w:sz w:val="24"/>
          <w:szCs w:val="24"/>
        </w:rPr>
        <w:t xml:space="preserve"> "A full tender must be </w:t>
      </w:r>
      <w:r w:rsidRPr="00D60028">
        <w:rPr>
          <w:rFonts w:ascii="Times New Roman" w:hAnsi="Times New Roman" w:cs="Times New Roman"/>
          <w:i/>
          <w:iCs/>
          <w:sz w:val="24"/>
          <w:szCs w:val="24"/>
        </w:rPr>
        <w:t>made</w:t>
      </w:r>
      <w:r w:rsidRPr="00D60028">
        <w:rPr>
          <w:rFonts w:ascii="Times New Roman" w:hAnsi="Times New Roman" w:cs="Times New Roman"/>
          <w:sz w:val="24"/>
          <w:szCs w:val="24"/>
        </w:rPr>
        <w:t xml:space="preserve"> to set aside a foreclosure sale, based on equitable principles. </w:t>
      </w:r>
      <w:proofErr w:type="gramStart"/>
      <w:r w:rsidRPr="00D60028">
        <w:rPr>
          <w:rFonts w:ascii="Times New Roman" w:hAnsi="Times New Roman" w:cs="Times New Roman"/>
          <w:sz w:val="24"/>
          <w:szCs w:val="24"/>
        </w:rPr>
        <w:t>[Citations.]"</w:t>
      </w:r>
      <w:proofErr w:type="gramEnd"/>
      <w:r w:rsidRPr="00D60028">
        <w:rPr>
          <w:rFonts w:ascii="Times New Roman" w:hAnsi="Times New Roman" w:cs="Times New Roman"/>
          <w:sz w:val="24"/>
          <w:szCs w:val="24"/>
        </w:rPr>
        <w:t xml:space="preserve">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Ibid.</w:t>
      </w:r>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The court in </w:t>
      </w:r>
      <w:proofErr w:type="spellStart"/>
      <w:r w:rsidRPr="00D60028">
        <w:rPr>
          <w:rFonts w:ascii="Times New Roman" w:hAnsi="Times New Roman" w:cs="Times New Roman"/>
          <w:i/>
          <w:iCs/>
          <w:sz w:val="24"/>
          <w:szCs w:val="24"/>
        </w:rPr>
        <w:t>Stebley</w:t>
      </w:r>
      <w:proofErr w:type="spellEnd"/>
      <w:r w:rsidRPr="00D60028">
        <w:rPr>
          <w:rFonts w:ascii="Times New Roman" w:hAnsi="Times New Roman" w:cs="Times New Roman"/>
          <w:i/>
          <w:iCs/>
          <w:sz w:val="24"/>
          <w:szCs w:val="24"/>
        </w:rPr>
        <w:t xml:space="preserve"> </w:t>
      </w:r>
      <w:r w:rsidRPr="00D60028">
        <w:rPr>
          <w:rFonts w:ascii="Times New Roman" w:hAnsi="Times New Roman" w:cs="Times New Roman"/>
          <w:sz w:val="24"/>
          <w:szCs w:val="24"/>
        </w:rPr>
        <w:t xml:space="preserve">explained: "Allowing plaintiffs to recoup the property without full tender would give them an inequitable windfall, allowing them to evade their lawful debt."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Ibid.</w:t>
      </w:r>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does not allege tender, nor does she suggest she could amend the complaint to cure this defect. Instead, she contends: "Respondents' contention that tender is required for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to properly plead wrongful foreclosure is also without merit. In her complaint,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pled that pursuant to the Permanent Modification [Revised Modification Agreement], all arrearages were capitalized and the default was cured. (CT 10-11). 'If, after a default, the </w:t>
      </w:r>
      <w:proofErr w:type="spellStart"/>
      <w:r w:rsidRPr="00D60028">
        <w:rPr>
          <w:rFonts w:ascii="Times New Roman" w:hAnsi="Times New Roman" w:cs="Times New Roman"/>
          <w:sz w:val="24"/>
          <w:szCs w:val="24"/>
        </w:rPr>
        <w:t>trustor</w:t>
      </w:r>
      <w:proofErr w:type="spellEnd"/>
      <w:r w:rsidRPr="00D60028">
        <w:rPr>
          <w:rFonts w:ascii="Times New Roman" w:hAnsi="Times New Roman" w:cs="Times New Roman"/>
          <w:sz w:val="24"/>
          <w:szCs w:val="24"/>
        </w:rPr>
        <w:t xml:space="preserve"> and beneficiary enter into an agreement to cure the default and reinstate the loan, no contractual basis remains for exercising the power of sale.' </w:t>
      </w:r>
      <w:proofErr w:type="gramStart"/>
      <w:r w:rsidRPr="00D60028">
        <w:rPr>
          <w:rFonts w:ascii="Times New Roman" w:hAnsi="Times New Roman" w:cs="Times New Roman"/>
          <w:i/>
          <w:iCs/>
          <w:sz w:val="24"/>
          <w:szCs w:val="24"/>
        </w:rPr>
        <w:t>Bank of America v. La Jolla Group II</w:t>
      </w:r>
      <w:r w:rsidRPr="00D60028">
        <w:rPr>
          <w:rFonts w:ascii="Times New Roman" w:hAnsi="Times New Roman" w:cs="Times New Roman"/>
          <w:sz w:val="24"/>
          <w:szCs w:val="24"/>
        </w:rPr>
        <w:t xml:space="preserve"> (2009) </w:t>
      </w:r>
      <w:hyperlink r:id="rId26" w:history="1">
        <w:r w:rsidRPr="00D60028">
          <w:rPr>
            <w:rFonts w:ascii="Times New Roman" w:hAnsi="Times New Roman" w:cs="Times New Roman"/>
            <w:color w:val="0000FF"/>
            <w:sz w:val="24"/>
            <w:szCs w:val="24"/>
            <w:u w:val="single"/>
          </w:rPr>
          <w:t>129 Cal.App.4th 706</w:t>
        </w:r>
      </w:hyperlink>
      <w:r w:rsidRPr="00D60028">
        <w:rPr>
          <w:rFonts w:ascii="Times New Roman" w:hAnsi="Times New Roman" w:cs="Times New Roman"/>
          <w:sz w:val="24"/>
          <w:szCs w:val="24"/>
        </w:rPr>
        <w:t>, 712.</w:t>
      </w:r>
      <w:proofErr w:type="gramEnd"/>
      <w:r w:rsidRPr="00D60028">
        <w:rPr>
          <w:rFonts w:ascii="Times New Roman" w:hAnsi="Times New Roman" w:cs="Times New Roman"/>
          <w:sz w:val="24"/>
          <w:szCs w:val="24"/>
        </w:rPr>
        <w:t xml:space="preserve"> Here the facts pled establish that the trustee's sale of the House is invalid, effectively obviating the need to allege tender."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Paragraph 3 of the Modification Agreement states that all unpaid late charges that remain unpaid will be waived. Paragraph 3.B. of the Modification Agreement states that {Slip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 xml:space="preserve">. Page 18} the modified principal balance of </w:t>
      </w:r>
      <w:proofErr w:type="spellStart"/>
      <w:r w:rsidRPr="00D60028">
        <w:rPr>
          <w:rFonts w:ascii="Times New Roman" w:hAnsi="Times New Roman" w:cs="Times New Roman"/>
          <w:sz w:val="24"/>
          <w:szCs w:val="24"/>
        </w:rPr>
        <w:t>Barroso's</w:t>
      </w:r>
      <w:proofErr w:type="spellEnd"/>
      <w:r w:rsidRPr="00D60028">
        <w:rPr>
          <w:rFonts w:ascii="Times New Roman" w:hAnsi="Times New Roman" w:cs="Times New Roman"/>
          <w:sz w:val="24"/>
          <w:szCs w:val="24"/>
        </w:rPr>
        <w:t xml:space="preserve"> loan will include all amounts and arrearages that will be past due. </w:t>
      </w:r>
      <w:bookmarkStart w:id="5" w:name="A0006"/>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"B0006" </w:instrText>
      </w:r>
      <w:r w:rsidRPr="00D60028">
        <w:rPr>
          <w:rFonts w:ascii="Times New Roman" w:hAnsi="Times New Roman" w:cs="Times New Roman"/>
          <w:sz w:val="24"/>
          <w:szCs w:val="24"/>
        </w:rPr>
        <w:fldChar w:fldCharType="separate"/>
      </w:r>
      <w:r w:rsidRPr="00D60028">
        <w:rPr>
          <w:rFonts w:ascii="Times New Roman" w:hAnsi="Times New Roman" w:cs="Times New Roman"/>
          <w:color w:val="0000FF"/>
          <w:sz w:val="24"/>
          <w:szCs w:val="24"/>
          <w:u w:val="single"/>
        </w:rPr>
        <w:t>fn. 6</w:t>
      </w:r>
      <w:r w:rsidRPr="00D60028">
        <w:rPr>
          <w:rFonts w:ascii="Times New Roman" w:hAnsi="Times New Roman" w:cs="Times New Roman"/>
          <w:sz w:val="24"/>
          <w:szCs w:val="24"/>
        </w:rPr>
        <w:fldChar w:fldCharType="end"/>
      </w:r>
      <w:bookmarkEnd w:id="5"/>
      <w:r w:rsidRPr="00D60028">
        <w:rPr>
          <w:rFonts w:ascii="Times New Roman" w:hAnsi="Times New Roman" w:cs="Times New Roman"/>
          <w:sz w:val="24"/>
          <w:szCs w:val="24"/>
        </w:rPr>
        <w:t xml:space="preserve"> </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In </w:t>
      </w:r>
      <w:r w:rsidRPr="00D60028">
        <w:rPr>
          <w:rFonts w:ascii="Times New Roman" w:hAnsi="Times New Roman" w:cs="Times New Roman"/>
          <w:i/>
          <w:iCs/>
          <w:sz w:val="24"/>
          <w:szCs w:val="24"/>
        </w:rPr>
        <w:t>Bank of America v. La Jolla Group II</w:t>
      </w:r>
      <w:r w:rsidRPr="00D60028">
        <w:rPr>
          <w:rFonts w:ascii="Times New Roman" w:hAnsi="Times New Roman" w:cs="Times New Roman"/>
          <w:sz w:val="24"/>
          <w:szCs w:val="24"/>
        </w:rPr>
        <w:t xml:space="preserve">, </w:t>
      </w:r>
      <w:r w:rsidRPr="00D60028">
        <w:rPr>
          <w:rFonts w:ascii="Times New Roman" w:hAnsi="Times New Roman" w:cs="Times New Roman"/>
          <w:i/>
          <w:iCs/>
          <w:sz w:val="24"/>
          <w:szCs w:val="24"/>
        </w:rPr>
        <w:t>supra</w:t>
      </w:r>
      <w:r w:rsidRPr="00D60028">
        <w:rPr>
          <w:rFonts w:ascii="Times New Roman" w:hAnsi="Times New Roman" w:cs="Times New Roman"/>
          <w:sz w:val="24"/>
          <w:szCs w:val="24"/>
        </w:rPr>
        <w:t xml:space="preserve">, </w:t>
      </w:r>
      <w:hyperlink r:id="rId27" w:history="1">
        <w:r w:rsidRPr="00D60028">
          <w:rPr>
            <w:rFonts w:ascii="Times New Roman" w:hAnsi="Times New Roman" w:cs="Times New Roman"/>
            <w:color w:val="0000FF"/>
            <w:sz w:val="24"/>
            <w:szCs w:val="24"/>
            <w:u w:val="single"/>
          </w:rPr>
          <w:t>129 Cal.App.4th 706</w:t>
        </w:r>
      </w:hyperlink>
      <w:r w:rsidRPr="00D60028">
        <w:rPr>
          <w:rFonts w:ascii="Times New Roman" w:hAnsi="Times New Roman" w:cs="Times New Roman"/>
          <w:sz w:val="24"/>
          <w:szCs w:val="24"/>
        </w:rPr>
        <w:t xml:space="preserve">, a homeowner's loan went into default because payments were missed. A notice of default and election to sell under the deed of trust and a notice of trustee's sale were recorded and the sale was scheduled for November 12, 2002. Four days before that date, someone acting on behalf of the homeowners went to a branch of the beneficiary bank and tendered a payment on the loan. A branch employee accepted the payment and reinstated the loan. But the trustee was not notified that the loan had been reinstated and the foreclosure sale went forward.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Id</w:t>
      </w:r>
      <w:r w:rsidRPr="00D60028">
        <w:rPr>
          <w:rFonts w:ascii="Times New Roman" w:hAnsi="Times New Roman" w:cs="Times New Roman"/>
          <w:sz w:val="24"/>
          <w:szCs w:val="24"/>
        </w:rPr>
        <w:t>. at p. 709.)</w:t>
      </w:r>
      <w:proofErr w:type="gramEnd"/>
      <w:r w:rsidRPr="00D60028">
        <w:rPr>
          <w:rFonts w:ascii="Times New Roman" w:hAnsi="Times New Roman" w:cs="Times New Roman"/>
          <w:sz w:val="24"/>
          <w:szCs w:val="24"/>
        </w:rPr>
        <w:t xml:space="preserve"> The beneficiary bank sued the party who successfully bid on the property at the </w:t>
      </w:r>
      <w:proofErr w:type="spellStart"/>
      <w:r w:rsidRPr="00D60028">
        <w:rPr>
          <w:rFonts w:ascii="Times New Roman" w:hAnsi="Times New Roman" w:cs="Times New Roman"/>
          <w:sz w:val="24"/>
          <w:szCs w:val="24"/>
        </w:rPr>
        <w:t>nonjudicial</w:t>
      </w:r>
      <w:proofErr w:type="spellEnd"/>
      <w:r w:rsidRPr="00D60028">
        <w:rPr>
          <w:rFonts w:ascii="Times New Roman" w:hAnsi="Times New Roman" w:cs="Times New Roman"/>
          <w:sz w:val="24"/>
          <w:szCs w:val="24"/>
        </w:rPr>
        <w:t xml:space="preserve"> foreclosure sale, seeking cancellation of the trustee's deed upon sale. Various cross actions were filed. The trial court found the sale and deed upon sale void and restored record title to the condition immediately prior to recordation of the deed upon sale. The Court of Appeal concluded that it was undisputed that the homeowners and the beneficiary bank had entered into an agreement to cure the default. It followed that the beneficiary bank had no right to sell after that agreement and the foreclosure sale was invalid. </w:t>
      </w:r>
      <w:proofErr w:type="gramStart"/>
      <w:r w:rsidRPr="00D60028">
        <w:rPr>
          <w:rFonts w:ascii="Times New Roman" w:hAnsi="Times New Roman" w:cs="Times New Roman"/>
          <w:sz w:val="24"/>
          <w:szCs w:val="24"/>
        </w:rPr>
        <w:t>(</w:t>
      </w:r>
      <w:r w:rsidRPr="00D60028">
        <w:rPr>
          <w:rFonts w:ascii="Times New Roman" w:hAnsi="Times New Roman" w:cs="Times New Roman"/>
          <w:i/>
          <w:iCs/>
          <w:sz w:val="24"/>
          <w:szCs w:val="24"/>
        </w:rPr>
        <w:t>Id</w:t>
      </w:r>
      <w:r w:rsidRPr="00D60028">
        <w:rPr>
          <w:rFonts w:ascii="Times New Roman" w:hAnsi="Times New Roman" w:cs="Times New Roman"/>
          <w:sz w:val="24"/>
          <w:szCs w:val="24"/>
        </w:rPr>
        <w:t>. at p. 712.)</w:t>
      </w:r>
      <w:proofErr w:type="gramEnd"/>
      <w:r w:rsidRPr="00D60028">
        <w:rPr>
          <w:rFonts w:ascii="Times New Roman" w:hAnsi="Times New Roman" w:cs="Times New Roman"/>
          <w:sz w:val="24"/>
          <w:szCs w:val="24"/>
        </w:rPr>
        <w:t xml:space="preserve"> </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lastRenderedPageBreak/>
        <w:t>Barroso</w:t>
      </w:r>
      <w:proofErr w:type="spellEnd"/>
      <w:r w:rsidRPr="00D60028">
        <w:rPr>
          <w:rFonts w:ascii="Times New Roman" w:hAnsi="Times New Roman" w:cs="Times New Roman"/>
          <w:sz w:val="24"/>
          <w:szCs w:val="24"/>
        </w:rPr>
        <w:t xml:space="preserve"> and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reached an enforceable agreement to modify the terms of her loan, and to bring the loan current, in July 2009.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alleges that she made all payments subsequent to that date when due. Based on these allegations, she has alleged a basis for wrongful foreclosure under the principles applied in </w:t>
      </w:r>
      <w:r w:rsidRPr="00D60028">
        <w:rPr>
          <w:rFonts w:ascii="Times New Roman" w:hAnsi="Times New Roman" w:cs="Times New Roman"/>
          <w:i/>
          <w:iCs/>
          <w:sz w:val="24"/>
          <w:szCs w:val="24"/>
        </w:rPr>
        <w:t>Bank of America v. La Jolla Group II</w:t>
      </w:r>
      <w:r w:rsidRPr="00D60028">
        <w:rPr>
          <w:rFonts w:ascii="Times New Roman" w:hAnsi="Times New Roman" w:cs="Times New Roman"/>
          <w:sz w:val="24"/>
          <w:szCs w:val="24"/>
        </w:rPr>
        <w:t xml:space="preserve">, </w:t>
      </w:r>
      <w:r w:rsidRPr="00D60028">
        <w:rPr>
          <w:rFonts w:ascii="Times New Roman" w:hAnsi="Times New Roman" w:cs="Times New Roman"/>
          <w:i/>
          <w:iCs/>
          <w:sz w:val="24"/>
          <w:szCs w:val="24"/>
        </w:rPr>
        <w:t>supra</w:t>
      </w:r>
      <w:r w:rsidRPr="00D60028">
        <w:rPr>
          <w:rFonts w:ascii="Times New Roman" w:hAnsi="Times New Roman" w:cs="Times New Roman"/>
          <w:sz w:val="24"/>
          <w:szCs w:val="24"/>
        </w:rPr>
        <w:t xml:space="preserve">, 129 Cal.App.4th at p. 712. It was not necessary for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to tender any amount to </w:t>
      </w:r>
      <w:proofErr w:type="spellStart"/>
      <w:r w:rsidRPr="00D60028">
        <w:rPr>
          <w:rFonts w:ascii="Times New Roman" w:hAnsi="Times New Roman" w:cs="Times New Roman"/>
          <w:sz w:val="24"/>
          <w:szCs w:val="24"/>
        </w:rPr>
        <w:t>Ocwen</w:t>
      </w:r>
      <w:proofErr w:type="spellEnd"/>
      <w:r w:rsidRPr="00D60028">
        <w:rPr>
          <w:rFonts w:ascii="Times New Roman" w:hAnsi="Times New Roman" w:cs="Times New Roman"/>
          <w:sz w:val="24"/>
          <w:szCs w:val="24"/>
        </w:rPr>
        <w:t xml:space="preserve"> to forestall the foreclosure sale because there was no default under the terms of the Modification Agreement. </w:t>
      </w:r>
      <w:proofErr w:type="gramStart"/>
      <w:r w:rsidRPr="00D60028">
        <w:rPr>
          <w:rFonts w:ascii="Times New Roman" w:hAnsi="Times New Roman" w:cs="Times New Roman"/>
          <w:sz w:val="24"/>
          <w:szCs w:val="24"/>
        </w:rPr>
        <w:t xml:space="preserve">{Slip </w:t>
      </w:r>
      <w:proofErr w:type="spellStart"/>
      <w:r w:rsidRPr="00D60028">
        <w:rPr>
          <w:rFonts w:ascii="Times New Roman" w:hAnsi="Times New Roman" w:cs="Times New Roman"/>
          <w:sz w:val="24"/>
          <w:szCs w:val="24"/>
        </w:rPr>
        <w:t>Opn</w:t>
      </w:r>
      <w:proofErr w:type="spellEnd"/>
      <w:r w:rsidRPr="00D60028">
        <w:rPr>
          <w:rFonts w:ascii="Times New Roman" w:hAnsi="Times New Roman" w:cs="Times New Roman"/>
          <w:sz w:val="24"/>
          <w:szCs w:val="24"/>
        </w:rPr>
        <w:t>.</w:t>
      </w:r>
      <w:proofErr w:type="gramEnd"/>
      <w:r w:rsidRPr="00D60028">
        <w:rPr>
          <w:rFonts w:ascii="Times New Roman" w:hAnsi="Times New Roman" w:cs="Times New Roman"/>
          <w:sz w:val="24"/>
          <w:szCs w:val="24"/>
        </w:rPr>
        <w:t xml:space="preserve"> Page 19} </w:t>
      </w:r>
    </w:p>
    <w:p w:rsidR="00D60028" w:rsidRPr="00D60028" w:rsidRDefault="00D60028" w:rsidP="00D60028">
      <w:pPr>
        <w:jc w:val="center"/>
        <w:rPr>
          <w:rFonts w:ascii="Times New Roman" w:hAnsi="Times New Roman" w:cs="Times New Roman"/>
          <w:sz w:val="24"/>
          <w:szCs w:val="24"/>
        </w:rPr>
      </w:pPr>
      <w:r w:rsidRPr="00D60028">
        <w:rPr>
          <w:rFonts w:ascii="Times New Roman" w:hAnsi="Times New Roman" w:cs="Times New Roman"/>
          <w:b/>
          <w:bCs/>
          <w:sz w:val="24"/>
          <w:szCs w:val="24"/>
        </w:rPr>
        <w:t>IV</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asks us to reverse the trial court's ruling because it allows respondents to violate the policies supporting the HAMP program and leads to a harsh and unjust result. She cites language in the HAMP Supplemental Directive 09-01, dated April 6, 2009, and titled "Introduction of the Home Affordable Modification Program". That language provides that the program was aimed at helping 3 to 4 million at-risk homeowners, those in default and those at risk of default, by reducing monthly payments to sustainable levels. She has attached excerpts of this document as exhibit 1 to her opening brief. Her public policy argument is based, in part, on the assertion that she had "in good faith complied in every way with the required terms and thus fully performed under the Contracts." Our conclusion that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has viable causes of action under the Modification Agreement makes it unnecessary to rely on this general policy argument.</w:t>
      </w:r>
    </w:p>
    <w:p w:rsidR="00D60028" w:rsidRPr="00D60028" w:rsidRDefault="00D60028" w:rsidP="00D60028">
      <w:pPr>
        <w:jc w:val="center"/>
        <w:rPr>
          <w:rFonts w:ascii="Times New Roman" w:hAnsi="Times New Roman" w:cs="Times New Roman"/>
          <w:sz w:val="24"/>
          <w:szCs w:val="24"/>
        </w:rPr>
      </w:pPr>
      <w:r w:rsidRPr="00D60028">
        <w:rPr>
          <w:rFonts w:ascii="Times New Roman" w:hAnsi="Times New Roman" w:cs="Times New Roman"/>
          <w:b/>
          <w:bCs/>
          <w:sz w:val="24"/>
          <w:szCs w:val="24"/>
        </w:rPr>
        <w:t>DISPOSITION</w:t>
      </w:r>
    </w:p>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t xml:space="preserve">The order of dismissal based upon the sustaining of </w:t>
      </w:r>
      <w:proofErr w:type="spellStart"/>
      <w:r w:rsidRPr="00D60028">
        <w:rPr>
          <w:rFonts w:ascii="Times New Roman" w:hAnsi="Times New Roman" w:cs="Times New Roman"/>
          <w:sz w:val="24"/>
          <w:szCs w:val="24"/>
        </w:rPr>
        <w:t>Ocwen's</w:t>
      </w:r>
      <w:proofErr w:type="spellEnd"/>
      <w:r w:rsidRPr="00D60028">
        <w:rPr>
          <w:rFonts w:ascii="Times New Roman" w:hAnsi="Times New Roman" w:cs="Times New Roman"/>
          <w:sz w:val="24"/>
          <w:szCs w:val="24"/>
        </w:rPr>
        <w:t xml:space="preserve"> demurrer without leave to amend is reversed to the extent it is based on allegations regarding the Modification Agreement.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is to be given leave to amend on remand consistent with the views expressed in this opinion.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is to have her costs on appeal.</w:t>
      </w:r>
    </w:p>
    <w:p w:rsidR="00D60028" w:rsidRPr="00D60028" w:rsidRDefault="00D60028" w:rsidP="00D60028">
      <w:pPr>
        <w:spacing w:before="100" w:beforeAutospacing="1" w:after="100" w:afterAutospacing="1"/>
        <w:rPr>
          <w:rFonts w:ascii="Times New Roman" w:hAnsi="Times New Roman" w:cs="Times New Roman"/>
          <w:sz w:val="24"/>
          <w:szCs w:val="24"/>
        </w:rPr>
      </w:pPr>
      <w:proofErr w:type="spellStart"/>
      <w:r w:rsidRPr="00D60028">
        <w:rPr>
          <w:rFonts w:ascii="Times New Roman" w:hAnsi="Times New Roman" w:cs="Times New Roman"/>
          <w:sz w:val="24"/>
          <w:szCs w:val="24"/>
        </w:rPr>
        <w:t>Manella</w:t>
      </w:r>
      <w:proofErr w:type="spellEnd"/>
      <w:r w:rsidRPr="00D60028">
        <w:rPr>
          <w:rFonts w:ascii="Times New Roman" w:hAnsi="Times New Roman" w:cs="Times New Roman"/>
          <w:sz w:val="24"/>
          <w:szCs w:val="24"/>
        </w:rPr>
        <w:t xml:space="preserve">, J., and </w:t>
      </w:r>
      <w:proofErr w:type="spellStart"/>
      <w:r w:rsidRPr="00D60028">
        <w:rPr>
          <w:rFonts w:ascii="Times New Roman" w:hAnsi="Times New Roman" w:cs="Times New Roman"/>
          <w:sz w:val="24"/>
          <w:szCs w:val="24"/>
        </w:rPr>
        <w:t>Suzukawa</w:t>
      </w:r>
      <w:proofErr w:type="spellEnd"/>
      <w:r w:rsidRPr="00D60028">
        <w:rPr>
          <w:rFonts w:ascii="Times New Roman" w:hAnsi="Times New Roman" w:cs="Times New Roman"/>
          <w:sz w:val="24"/>
          <w:szCs w:val="24"/>
        </w:rPr>
        <w:t>, J., concurred.</w:t>
      </w:r>
    </w:p>
    <w:bookmarkStart w:id="6" w:name="B0001"/>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"A0001" </w:instrText>
      </w:r>
      <w:r w:rsidRPr="00D60028">
        <w:rPr>
          <w:rFonts w:ascii="Times New Roman" w:hAnsi="Times New Roman" w:cs="Times New Roman"/>
          <w:sz w:val="24"/>
          <w:szCs w:val="24"/>
        </w:rPr>
        <w:fldChar w:fldCharType="separate"/>
      </w:r>
      <w:proofErr w:type="gramStart"/>
      <w:r w:rsidRPr="00D60028">
        <w:rPr>
          <w:rFonts w:ascii="Times New Roman" w:hAnsi="Times New Roman" w:cs="Times New Roman"/>
          <w:color w:val="0000FF"/>
          <w:sz w:val="24"/>
          <w:szCs w:val="24"/>
          <w:u w:val="single"/>
        </w:rPr>
        <w:softHyphen/>
        <w:t>FN 1.</w:t>
      </w:r>
      <w:proofErr w:type="gramEnd"/>
      <w:r w:rsidRPr="00D60028">
        <w:rPr>
          <w:rFonts w:ascii="Times New Roman" w:hAnsi="Times New Roman" w:cs="Times New Roman"/>
          <w:sz w:val="24"/>
          <w:szCs w:val="24"/>
        </w:rPr>
        <w:fldChar w:fldCharType="end"/>
      </w:r>
      <w:bookmarkEnd w:id="6"/>
      <w:r w:rsidRPr="00D60028">
        <w:rPr>
          <w:rFonts w:ascii="Times New Roman" w:hAnsi="Times New Roman" w:cs="Times New Roman"/>
          <w:sz w:val="24"/>
          <w:szCs w:val="24"/>
        </w:rPr>
        <w:t xml:space="preserve"> "The United States Department of the Treasury and other federal agencies created HAMP pursuant to authority granted by the Emergency Economic Stabilization Act, </w:t>
      </w:r>
      <w:proofErr w:type="gramStart"/>
      <w:r w:rsidRPr="00D60028">
        <w:rPr>
          <w:rFonts w:ascii="Times New Roman" w:hAnsi="Times New Roman" w:cs="Times New Roman"/>
          <w:sz w:val="24"/>
          <w:szCs w:val="24"/>
        </w:rPr>
        <w:t>title 12 United States Code section 5201 et seq. [Citation.]</w:t>
      </w:r>
      <w:proofErr w:type="gramEnd"/>
      <w:r w:rsidRPr="00D60028">
        <w:rPr>
          <w:rFonts w:ascii="Times New Roman" w:hAnsi="Times New Roman" w:cs="Times New Roman"/>
          <w:sz w:val="24"/>
          <w:szCs w:val="24"/>
        </w:rPr>
        <w:t xml:space="preserve"> Mortgage servicers may voluntarily participate in HAMP.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Treasury guidelines set forth threshold criteria to define the class of eligible borrowers.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The guidelines also set forth accounting steps using a standardized net present value test to determine whether it is more profitable to modify the loan or allow it to proceed to foreclosure. </w:t>
      </w:r>
      <w:proofErr w:type="gramStart"/>
      <w:r w:rsidRPr="00D60028">
        <w:rPr>
          <w:rFonts w:ascii="Times New Roman" w:hAnsi="Times New Roman" w:cs="Times New Roman"/>
          <w:sz w:val="24"/>
          <w:szCs w:val="24"/>
        </w:rPr>
        <w:t>[Citation.]"</w:t>
      </w:r>
      <w:proofErr w:type="gramEnd"/>
      <w:r w:rsidRPr="00D60028">
        <w:rPr>
          <w:rFonts w:ascii="Times New Roman" w:hAnsi="Times New Roman" w:cs="Times New Roman"/>
          <w:sz w:val="24"/>
          <w:szCs w:val="24"/>
        </w:rPr>
        <w:t xml:space="preserve"> (</w:t>
      </w:r>
      <w:proofErr w:type="spellStart"/>
      <w:r w:rsidRPr="00D60028">
        <w:rPr>
          <w:rFonts w:ascii="Times New Roman" w:hAnsi="Times New Roman" w:cs="Times New Roman"/>
          <w:i/>
          <w:iCs/>
          <w:sz w:val="24"/>
          <w:szCs w:val="24"/>
        </w:rPr>
        <w:t>Nungaray</w:t>
      </w:r>
      <w:proofErr w:type="spellEnd"/>
      <w:r w:rsidRPr="00D60028">
        <w:rPr>
          <w:rFonts w:ascii="Times New Roman" w:hAnsi="Times New Roman" w:cs="Times New Roman"/>
          <w:i/>
          <w:iCs/>
          <w:sz w:val="24"/>
          <w:szCs w:val="24"/>
        </w:rPr>
        <w:t xml:space="preserve"> v. Litton Loan Servicing, </w:t>
      </w:r>
      <w:proofErr w:type="gramStart"/>
      <w:r w:rsidRPr="00D60028">
        <w:rPr>
          <w:rFonts w:ascii="Times New Roman" w:hAnsi="Times New Roman" w:cs="Times New Roman"/>
          <w:i/>
          <w:iCs/>
          <w:sz w:val="24"/>
          <w:szCs w:val="24"/>
        </w:rPr>
        <w:t>LP</w:t>
      </w:r>
      <w:r w:rsidRPr="00D60028">
        <w:rPr>
          <w:rFonts w:ascii="Times New Roman" w:hAnsi="Times New Roman" w:cs="Times New Roman"/>
          <w:sz w:val="24"/>
          <w:szCs w:val="24"/>
        </w:rPr>
        <w:t xml:space="preserve"> (2011) </w:t>
      </w:r>
      <w:hyperlink r:id="rId28" w:history="1">
        <w:r w:rsidRPr="00D60028">
          <w:rPr>
            <w:rFonts w:ascii="Times New Roman" w:hAnsi="Times New Roman" w:cs="Times New Roman"/>
            <w:color w:val="0000FF"/>
            <w:sz w:val="24"/>
            <w:szCs w:val="24"/>
            <w:u w:val="single"/>
          </w:rPr>
          <w:t>200 Cal.App.4th 1499</w:t>
        </w:r>
      </w:hyperlink>
      <w:r w:rsidRPr="00D60028">
        <w:rPr>
          <w:rFonts w:ascii="Times New Roman" w:hAnsi="Times New Roman" w:cs="Times New Roman"/>
          <w:sz w:val="24"/>
          <w:szCs w:val="24"/>
        </w:rPr>
        <w:t>, 1501</w:t>
      </w:r>
      <w:proofErr w:type="gramEnd"/>
      <w:r w:rsidRPr="00D60028">
        <w:rPr>
          <w:rFonts w:ascii="Times New Roman" w:hAnsi="Times New Roman" w:cs="Times New Roman"/>
          <w:sz w:val="24"/>
          <w:szCs w:val="24"/>
        </w:rPr>
        <w:t>, fn. 1.)</w:t>
      </w:r>
    </w:p>
    <w:bookmarkStart w:id="7" w:name="B0002"/>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"A0002" </w:instrText>
      </w:r>
      <w:r w:rsidRPr="00D60028">
        <w:rPr>
          <w:rFonts w:ascii="Times New Roman" w:hAnsi="Times New Roman" w:cs="Times New Roman"/>
          <w:sz w:val="24"/>
          <w:szCs w:val="24"/>
        </w:rPr>
        <w:fldChar w:fldCharType="separate"/>
      </w:r>
      <w:proofErr w:type="gramStart"/>
      <w:r w:rsidRPr="00D60028">
        <w:rPr>
          <w:rFonts w:ascii="Times New Roman" w:hAnsi="Times New Roman" w:cs="Times New Roman"/>
          <w:color w:val="0000FF"/>
          <w:sz w:val="24"/>
          <w:szCs w:val="24"/>
          <w:u w:val="single"/>
        </w:rPr>
        <w:softHyphen/>
        <w:t>FN 2.</w:t>
      </w:r>
      <w:proofErr w:type="gramEnd"/>
      <w:r w:rsidRPr="00D60028">
        <w:rPr>
          <w:rFonts w:ascii="Times New Roman" w:hAnsi="Times New Roman" w:cs="Times New Roman"/>
          <w:sz w:val="24"/>
          <w:szCs w:val="24"/>
        </w:rPr>
        <w:fldChar w:fldCharType="end"/>
      </w:r>
      <w:bookmarkEnd w:id="7"/>
      <w:r w:rsidRPr="00D60028">
        <w:rPr>
          <w:rFonts w:ascii="Times New Roman" w:hAnsi="Times New Roman" w:cs="Times New Roman"/>
          <w:sz w:val="24"/>
          <w:szCs w:val="24"/>
        </w:rPr>
        <w:t xml:space="preserve"> In her reply brief,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concedes that there are no separate causes of action for specific performance and injunctive relief, which are instead remedies. (</w:t>
      </w:r>
      <w:r w:rsidRPr="00D60028">
        <w:rPr>
          <w:rFonts w:ascii="Times New Roman" w:hAnsi="Times New Roman" w:cs="Times New Roman"/>
          <w:i/>
          <w:iCs/>
          <w:sz w:val="24"/>
          <w:szCs w:val="24"/>
        </w:rPr>
        <w:t>Wong v. Jing</w:t>
      </w:r>
      <w:r w:rsidRPr="00D60028">
        <w:rPr>
          <w:rFonts w:ascii="Times New Roman" w:hAnsi="Times New Roman" w:cs="Times New Roman"/>
          <w:sz w:val="24"/>
          <w:szCs w:val="24"/>
        </w:rPr>
        <w:t xml:space="preserve"> (2010) </w:t>
      </w:r>
      <w:hyperlink r:id="rId29" w:history="1">
        <w:r w:rsidRPr="00D60028">
          <w:rPr>
            <w:rFonts w:ascii="Times New Roman" w:hAnsi="Times New Roman" w:cs="Times New Roman"/>
            <w:color w:val="0000FF"/>
            <w:sz w:val="24"/>
            <w:szCs w:val="24"/>
            <w:u w:val="single"/>
          </w:rPr>
          <w:t>189 Cal.App.4th 1354</w:t>
        </w:r>
      </w:hyperlink>
      <w:r w:rsidRPr="00D60028">
        <w:rPr>
          <w:rFonts w:ascii="Times New Roman" w:hAnsi="Times New Roman" w:cs="Times New Roman"/>
          <w:sz w:val="24"/>
          <w:szCs w:val="24"/>
        </w:rPr>
        <w:t xml:space="preserve">, 1360, fn. 2 [specific performance and injunctive relief are equitable remedies and not causes of action for injuries]; </w:t>
      </w:r>
      <w:r w:rsidRPr="00D60028">
        <w:rPr>
          <w:rFonts w:ascii="Times New Roman" w:hAnsi="Times New Roman" w:cs="Times New Roman"/>
          <w:i/>
          <w:iCs/>
          <w:sz w:val="24"/>
          <w:szCs w:val="24"/>
        </w:rPr>
        <w:t xml:space="preserve">Marlin v. </w:t>
      </w:r>
      <w:proofErr w:type="spellStart"/>
      <w:r w:rsidRPr="00D60028">
        <w:rPr>
          <w:rFonts w:ascii="Times New Roman" w:hAnsi="Times New Roman" w:cs="Times New Roman"/>
          <w:i/>
          <w:iCs/>
          <w:sz w:val="24"/>
          <w:szCs w:val="24"/>
        </w:rPr>
        <w:t>Aimco</w:t>
      </w:r>
      <w:proofErr w:type="spellEnd"/>
      <w:r w:rsidRPr="00D60028">
        <w:rPr>
          <w:rFonts w:ascii="Times New Roman" w:hAnsi="Times New Roman" w:cs="Times New Roman"/>
          <w:i/>
          <w:iCs/>
          <w:sz w:val="24"/>
          <w:szCs w:val="24"/>
        </w:rPr>
        <w:t xml:space="preserve"> </w:t>
      </w:r>
      <w:proofErr w:type="spellStart"/>
      <w:r w:rsidRPr="00D60028">
        <w:rPr>
          <w:rFonts w:ascii="Times New Roman" w:hAnsi="Times New Roman" w:cs="Times New Roman"/>
          <w:i/>
          <w:iCs/>
          <w:sz w:val="24"/>
          <w:szCs w:val="24"/>
        </w:rPr>
        <w:t>Venezia</w:t>
      </w:r>
      <w:proofErr w:type="spellEnd"/>
      <w:r w:rsidRPr="00D60028">
        <w:rPr>
          <w:rFonts w:ascii="Times New Roman" w:hAnsi="Times New Roman" w:cs="Times New Roman"/>
          <w:i/>
          <w:iCs/>
          <w:sz w:val="24"/>
          <w:szCs w:val="24"/>
        </w:rPr>
        <w:t>, LLC</w:t>
      </w:r>
      <w:r w:rsidRPr="00D60028">
        <w:rPr>
          <w:rFonts w:ascii="Times New Roman" w:hAnsi="Times New Roman" w:cs="Times New Roman"/>
          <w:sz w:val="24"/>
          <w:szCs w:val="24"/>
        </w:rPr>
        <w:t xml:space="preserve"> (2007) </w:t>
      </w:r>
      <w:hyperlink r:id="rId30" w:history="1">
        <w:r w:rsidRPr="00D60028">
          <w:rPr>
            <w:rFonts w:ascii="Times New Roman" w:hAnsi="Times New Roman" w:cs="Times New Roman"/>
            <w:color w:val="0000FF"/>
            <w:sz w:val="24"/>
            <w:szCs w:val="24"/>
            <w:u w:val="single"/>
          </w:rPr>
          <w:t>154 Cal.App.4th 154</w:t>
        </w:r>
      </w:hyperlink>
      <w:r w:rsidRPr="00D60028">
        <w:rPr>
          <w:rFonts w:ascii="Times New Roman" w:hAnsi="Times New Roman" w:cs="Times New Roman"/>
          <w:sz w:val="24"/>
          <w:szCs w:val="24"/>
        </w:rPr>
        <w:t>, 162 [injunctive relief].)</w:t>
      </w:r>
    </w:p>
    <w:bookmarkStart w:id="8" w:name="B0003"/>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lastRenderedPageBreak/>
        <w:fldChar w:fldCharType="begin"/>
      </w:r>
      <w:r w:rsidRPr="00D60028">
        <w:rPr>
          <w:rFonts w:ascii="Times New Roman" w:hAnsi="Times New Roman" w:cs="Times New Roman"/>
          <w:sz w:val="24"/>
          <w:szCs w:val="24"/>
        </w:rPr>
        <w:instrText xml:space="preserve"> HYPERLINK "http://login.findlaw.com/scripts/callaw" \l "A0003" </w:instrText>
      </w:r>
      <w:r w:rsidRPr="00D60028">
        <w:rPr>
          <w:rFonts w:ascii="Times New Roman" w:hAnsi="Times New Roman" w:cs="Times New Roman"/>
          <w:sz w:val="24"/>
          <w:szCs w:val="24"/>
        </w:rPr>
        <w:fldChar w:fldCharType="separate"/>
      </w:r>
      <w:proofErr w:type="gramStart"/>
      <w:r w:rsidRPr="00D60028">
        <w:rPr>
          <w:rFonts w:ascii="Times New Roman" w:hAnsi="Times New Roman" w:cs="Times New Roman"/>
          <w:color w:val="0000FF"/>
          <w:sz w:val="24"/>
          <w:szCs w:val="24"/>
          <w:u w:val="single"/>
        </w:rPr>
        <w:softHyphen/>
        <w:t>FN 3.</w:t>
      </w:r>
      <w:proofErr w:type="gramEnd"/>
      <w:r w:rsidRPr="00D60028">
        <w:rPr>
          <w:rFonts w:ascii="Times New Roman" w:hAnsi="Times New Roman" w:cs="Times New Roman"/>
          <w:sz w:val="24"/>
          <w:szCs w:val="24"/>
        </w:rPr>
        <w:fldChar w:fldCharType="end"/>
      </w:r>
      <w:bookmarkEnd w:id="8"/>
      <w:r w:rsidRPr="00D60028">
        <w:rPr>
          <w:rFonts w:ascii="Times New Roman" w:hAnsi="Times New Roman" w:cs="Times New Roman"/>
          <w:sz w:val="24"/>
          <w:szCs w:val="24"/>
        </w:rPr>
        <w:t xml:space="preserve"> The Civil Code also defines "condition precedent": "A condition precedent is one which is to be performed before some right dependent thereon accrues, or some act dependent thereon is performed." </w:t>
      </w:r>
      <w:proofErr w:type="gramStart"/>
      <w:r w:rsidRPr="00D60028">
        <w:rPr>
          <w:rFonts w:ascii="Times New Roman" w:hAnsi="Times New Roman" w:cs="Times New Roman"/>
          <w:sz w:val="24"/>
          <w:szCs w:val="24"/>
        </w:rPr>
        <w:t>(Civ. Code, § 1436.)</w:t>
      </w:r>
      <w:proofErr w:type="gramEnd"/>
      <w:r w:rsidRPr="00D60028">
        <w:rPr>
          <w:rFonts w:ascii="Times New Roman" w:hAnsi="Times New Roman" w:cs="Times New Roman"/>
          <w:sz w:val="24"/>
          <w:szCs w:val="24"/>
        </w:rPr>
        <w:t xml:space="preserve"> </w:t>
      </w:r>
    </w:p>
    <w:bookmarkStart w:id="9" w:name="B0004"/>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"A0004" </w:instrText>
      </w:r>
      <w:r w:rsidRPr="00D60028">
        <w:rPr>
          <w:rFonts w:ascii="Times New Roman" w:hAnsi="Times New Roman" w:cs="Times New Roman"/>
          <w:sz w:val="24"/>
          <w:szCs w:val="24"/>
        </w:rPr>
        <w:fldChar w:fldCharType="separate"/>
      </w:r>
      <w:proofErr w:type="gramStart"/>
      <w:r w:rsidRPr="00D60028">
        <w:rPr>
          <w:rFonts w:ascii="Times New Roman" w:hAnsi="Times New Roman" w:cs="Times New Roman"/>
          <w:color w:val="0000FF"/>
          <w:sz w:val="24"/>
          <w:szCs w:val="24"/>
          <w:u w:val="single"/>
        </w:rPr>
        <w:softHyphen/>
        <w:t>FN 4.</w:t>
      </w:r>
      <w:proofErr w:type="gramEnd"/>
      <w:r w:rsidRPr="00D60028">
        <w:rPr>
          <w:rFonts w:ascii="Times New Roman" w:hAnsi="Times New Roman" w:cs="Times New Roman"/>
          <w:sz w:val="24"/>
          <w:szCs w:val="24"/>
        </w:rPr>
        <w:fldChar w:fldCharType="end"/>
      </w:r>
      <w:bookmarkEnd w:id="9"/>
      <w:r w:rsidRPr="00D60028">
        <w:rPr>
          <w:rFonts w:ascii="Times New Roman" w:hAnsi="Times New Roman" w:cs="Times New Roman"/>
          <w:sz w:val="24"/>
          <w:szCs w:val="24"/>
        </w:rPr>
        <w:t xml:space="preserve"> Exhibit A states that a modification agreement is enclosed, but no modification agreement is attached as part of Exhibit A. </w:t>
      </w:r>
    </w:p>
    <w:bookmarkStart w:id="10" w:name="B0005"/>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"A0005" </w:instrText>
      </w:r>
      <w:r w:rsidRPr="00D60028">
        <w:rPr>
          <w:rFonts w:ascii="Times New Roman" w:hAnsi="Times New Roman" w:cs="Times New Roman"/>
          <w:sz w:val="24"/>
          <w:szCs w:val="24"/>
        </w:rPr>
        <w:fldChar w:fldCharType="separate"/>
      </w:r>
      <w:proofErr w:type="gramStart"/>
      <w:r w:rsidRPr="00D60028">
        <w:rPr>
          <w:rFonts w:ascii="Times New Roman" w:hAnsi="Times New Roman" w:cs="Times New Roman"/>
          <w:color w:val="0000FF"/>
          <w:sz w:val="24"/>
          <w:szCs w:val="24"/>
          <w:u w:val="single"/>
        </w:rPr>
        <w:softHyphen/>
        <w:t>FN 5.</w:t>
      </w:r>
      <w:proofErr w:type="gramEnd"/>
      <w:r w:rsidRPr="00D60028">
        <w:rPr>
          <w:rFonts w:ascii="Times New Roman" w:hAnsi="Times New Roman" w:cs="Times New Roman"/>
          <w:sz w:val="24"/>
          <w:szCs w:val="24"/>
        </w:rPr>
        <w:fldChar w:fldCharType="end"/>
      </w:r>
      <w:bookmarkEnd w:id="10"/>
      <w:r w:rsidRPr="00D60028">
        <w:rPr>
          <w:rFonts w:ascii="Times New Roman" w:hAnsi="Times New Roman" w:cs="Times New Roman"/>
          <w:sz w:val="24"/>
          <w:szCs w:val="24"/>
        </w:rPr>
        <w:t xml:space="preserve"> Alternatively,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contends that if the trial court was correct in concluding that only a statutory cause of action for wrongful foreclosure could be brought, she should have been given leave to amend to add that theory of recovery. Since California recognizes a </w:t>
      </w:r>
      <w:proofErr w:type="spellStart"/>
      <w:r w:rsidRPr="00D60028">
        <w:rPr>
          <w:rFonts w:ascii="Times New Roman" w:hAnsi="Times New Roman" w:cs="Times New Roman"/>
          <w:sz w:val="24"/>
          <w:szCs w:val="24"/>
        </w:rPr>
        <w:t>nonstatutory</w:t>
      </w:r>
      <w:proofErr w:type="spellEnd"/>
      <w:r w:rsidRPr="00D60028">
        <w:rPr>
          <w:rFonts w:ascii="Times New Roman" w:hAnsi="Times New Roman" w:cs="Times New Roman"/>
          <w:sz w:val="24"/>
          <w:szCs w:val="24"/>
        </w:rPr>
        <w:t xml:space="preserve"> theory of wrongful foreclosure, as </w:t>
      </w:r>
      <w:proofErr w:type="spellStart"/>
      <w:r w:rsidRPr="00D60028">
        <w:rPr>
          <w:rFonts w:ascii="Times New Roman" w:hAnsi="Times New Roman" w:cs="Times New Roman"/>
          <w:sz w:val="24"/>
          <w:szCs w:val="24"/>
        </w:rPr>
        <w:t>Barroso</w:t>
      </w:r>
      <w:proofErr w:type="spellEnd"/>
      <w:r w:rsidRPr="00D60028">
        <w:rPr>
          <w:rFonts w:ascii="Times New Roman" w:hAnsi="Times New Roman" w:cs="Times New Roman"/>
          <w:sz w:val="24"/>
          <w:szCs w:val="24"/>
        </w:rPr>
        <w:t xml:space="preserve"> argues, we do not discuss the alternative of a statutory ground. </w:t>
      </w:r>
    </w:p>
    <w:bookmarkStart w:id="11" w:name="B0006"/>
    <w:p w:rsidR="00D60028" w:rsidRPr="00D60028" w:rsidRDefault="00D60028" w:rsidP="00D60028">
      <w:pPr>
        <w:spacing w:before="100" w:beforeAutospacing="1" w:after="100" w:afterAutospacing="1"/>
        <w:rPr>
          <w:rFonts w:ascii="Times New Roman" w:hAnsi="Times New Roman" w:cs="Times New Roman"/>
          <w:sz w:val="24"/>
          <w:szCs w:val="24"/>
        </w:rPr>
      </w:pPr>
      <w:r w:rsidRPr="00D60028">
        <w:rPr>
          <w:rFonts w:ascii="Times New Roman" w:hAnsi="Times New Roman" w:cs="Times New Roman"/>
          <w:sz w:val="24"/>
          <w:szCs w:val="24"/>
        </w:rPr>
        <w:fldChar w:fldCharType="begin"/>
      </w:r>
      <w:r w:rsidRPr="00D60028">
        <w:rPr>
          <w:rFonts w:ascii="Times New Roman" w:hAnsi="Times New Roman" w:cs="Times New Roman"/>
          <w:sz w:val="24"/>
          <w:szCs w:val="24"/>
        </w:rPr>
        <w:instrText xml:space="preserve"> HYPERLINK "http://login.findlaw.com/scripts/callaw" \l "A0006" </w:instrText>
      </w:r>
      <w:r w:rsidRPr="00D60028">
        <w:rPr>
          <w:rFonts w:ascii="Times New Roman" w:hAnsi="Times New Roman" w:cs="Times New Roman"/>
          <w:sz w:val="24"/>
          <w:szCs w:val="24"/>
        </w:rPr>
        <w:fldChar w:fldCharType="separate"/>
      </w:r>
      <w:proofErr w:type="gramStart"/>
      <w:r w:rsidRPr="00D60028">
        <w:rPr>
          <w:rFonts w:ascii="Times New Roman" w:hAnsi="Times New Roman" w:cs="Times New Roman"/>
          <w:color w:val="0000FF"/>
          <w:sz w:val="24"/>
          <w:szCs w:val="24"/>
          <w:u w:val="single"/>
        </w:rPr>
        <w:softHyphen/>
        <w:t>FN 6.</w:t>
      </w:r>
      <w:proofErr w:type="gramEnd"/>
      <w:r w:rsidRPr="00D60028">
        <w:rPr>
          <w:rFonts w:ascii="Times New Roman" w:hAnsi="Times New Roman" w:cs="Times New Roman"/>
          <w:sz w:val="24"/>
          <w:szCs w:val="24"/>
        </w:rPr>
        <w:fldChar w:fldCharType="end"/>
      </w:r>
      <w:bookmarkEnd w:id="11"/>
      <w:r w:rsidRPr="00D60028">
        <w:rPr>
          <w:rFonts w:ascii="Times New Roman" w:hAnsi="Times New Roman" w:cs="Times New Roman"/>
          <w:sz w:val="24"/>
          <w:szCs w:val="24"/>
        </w:rPr>
        <w:t xml:space="preserve"> Paragraph 3.B. reads: "The modified Principal balance of my Note will include all amounts and arrearages that will be past due (excluding unpaid late charges) less any amounts paid to the Servicer but not previously credited to my Loan. The new Principal balance of my Note will be $423,322.49 (the 'New Principal Balance')."</w:t>
      </w:r>
    </w:p>
    <w:p w:rsidR="007723F3" w:rsidRDefault="007723F3">
      <w:bookmarkStart w:id="12" w:name="_GoBack"/>
      <w:bookmarkEnd w:id="12"/>
    </w:p>
    <w:sectPr w:rsidR="00772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D60028"/>
    <w:rsid w:val="00647866"/>
    <w:rsid w:val="007723F3"/>
    <w:rsid w:val="00947031"/>
    <w:rsid w:val="00B00EC6"/>
    <w:rsid w:val="00B472E1"/>
    <w:rsid w:val="00D600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8445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gin.findlaw.com/scripts/callaw?dest=ca/caapp4th/192/1183.html" TargetMode="External"/><Relationship Id="rId13" Type="http://schemas.openxmlformats.org/officeDocument/2006/relationships/hyperlink" Target="http://login.findlaw.com/scripts/callaw?dest=ca/caapp4th/46/534.html" TargetMode="External"/><Relationship Id="rId18" Type="http://schemas.openxmlformats.org/officeDocument/2006/relationships/hyperlink" Target="http://login.findlaw.com/scripts/callaw?dest=ca/caapp4th/100/44.html" TargetMode="External"/><Relationship Id="rId26" Type="http://schemas.openxmlformats.org/officeDocument/2006/relationships/hyperlink" Target="http://login.findlaw.com/scripts/callaw?dest=ca/caapp4th/129/706.html" TargetMode="External"/><Relationship Id="rId3" Type="http://schemas.openxmlformats.org/officeDocument/2006/relationships/settings" Target="settings.xml"/><Relationship Id="rId21" Type="http://schemas.openxmlformats.org/officeDocument/2006/relationships/hyperlink" Target="http://login.findlaw.com/scripts/callaw?dest=ca/caapp4th/184/1298.html" TargetMode="External"/><Relationship Id="rId7" Type="http://schemas.openxmlformats.org/officeDocument/2006/relationships/hyperlink" Target="http://login.findlaw.com/scripts/callaw?dest=ca/caapp4th/168/1086.html" TargetMode="External"/><Relationship Id="rId12" Type="http://schemas.openxmlformats.org/officeDocument/2006/relationships/hyperlink" Target="http://login.findlaw.com/scripts/callaw?dest=ca/caapp4th/169/415.html" TargetMode="External"/><Relationship Id="rId17" Type="http://schemas.openxmlformats.org/officeDocument/2006/relationships/hyperlink" Target="http://login.findlaw.com/scripts/callaw?dest=ca/cal4th/2/342.html" TargetMode="External"/><Relationship Id="rId25" Type="http://schemas.openxmlformats.org/officeDocument/2006/relationships/hyperlink" Target="http://login.findlaw.com/scripts/callaw?dest=ca/caapp4th/202/522.html" TargetMode="External"/><Relationship Id="rId2" Type="http://schemas.microsoft.com/office/2007/relationships/stylesWithEffects" Target="stylesWithEffects.xml"/><Relationship Id="rId16" Type="http://schemas.openxmlformats.org/officeDocument/2006/relationships/hyperlink" Target="http://login.findlaw.com/scripts/callaw?dest=ca/caapp4th/54/1102.html" TargetMode="External"/><Relationship Id="rId20" Type="http://schemas.openxmlformats.org/officeDocument/2006/relationships/hyperlink" Target="http://login.findlaw.com/scripts/callaw?dest=ca/caapp4th/11/1026.html" TargetMode="External"/><Relationship Id="rId29" Type="http://schemas.openxmlformats.org/officeDocument/2006/relationships/hyperlink" Target="http://login.findlaw.com/scripts/callaw?dest=ca/caapp4th/189/1354.html" TargetMode="External"/><Relationship Id="rId1" Type="http://schemas.openxmlformats.org/officeDocument/2006/relationships/styles" Target="styles.xml"/><Relationship Id="rId6" Type="http://schemas.openxmlformats.org/officeDocument/2006/relationships/hyperlink" Target="http://login.findlaw.com/scripts/callaw?dest=ca/caapp4th/188/69.html" TargetMode="External"/><Relationship Id="rId11" Type="http://schemas.openxmlformats.org/officeDocument/2006/relationships/hyperlink" Target="http://login.findlaw.com/scripts/callaw?dest=ca/cal3d/1/50.html" TargetMode="External"/><Relationship Id="rId24" Type="http://schemas.openxmlformats.org/officeDocument/2006/relationships/hyperlink" Target="http://login.findlaw.com/scripts/callaw?dest=ca/caapp4th/192/218.html" TargetMode="External"/><Relationship Id="rId32" Type="http://schemas.openxmlformats.org/officeDocument/2006/relationships/theme" Target="theme/theme1.xml"/><Relationship Id="rId5" Type="http://schemas.openxmlformats.org/officeDocument/2006/relationships/hyperlink" Target="http://login.findlaw.com/scripts/callaw?dest=ca/cal4th/48/32.html" TargetMode="External"/><Relationship Id="rId15" Type="http://schemas.openxmlformats.org/officeDocument/2006/relationships/hyperlink" Target="http://login.findlaw.com/scripts/callaw?dest=ca/calapp3d/187/913.html" TargetMode="External"/><Relationship Id="rId23" Type="http://schemas.openxmlformats.org/officeDocument/2006/relationships/hyperlink" Target="http://login.findlaw.com/scripts/callaw?dest=ca/caapp4th/201/492.html" TargetMode="External"/><Relationship Id="rId28" Type="http://schemas.openxmlformats.org/officeDocument/2006/relationships/hyperlink" Target="http://login.findlaw.com/scripts/callaw?dest=ca/caapp4th/200/1499.html" TargetMode="External"/><Relationship Id="rId10" Type="http://schemas.openxmlformats.org/officeDocument/2006/relationships/hyperlink" Target="http://login.findlaw.com/scripts/callaw?dest=ca/caapp4th/110/193.html" TargetMode="External"/><Relationship Id="rId19" Type="http://schemas.openxmlformats.org/officeDocument/2006/relationships/hyperlink" Target="http://login.findlaw.com/scripts/callaw?dest=ca/cal3d/47/654.html"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login.findlaw.com/scripts/callaw?dest=ca/cal4th/15/882.html" TargetMode="External"/><Relationship Id="rId14" Type="http://schemas.openxmlformats.org/officeDocument/2006/relationships/hyperlink" Target="http://login.findlaw.com/scripts/callaw?dest=ca/calapp2d/264/603.html" TargetMode="External"/><Relationship Id="rId22" Type="http://schemas.openxmlformats.org/officeDocument/2006/relationships/hyperlink" Target="http://login.findlaw.com/scripts/callaw?dest=ca/caapp4th/129/887.html" TargetMode="External"/><Relationship Id="rId27" Type="http://schemas.openxmlformats.org/officeDocument/2006/relationships/hyperlink" Target="http://login.findlaw.com/scripts/callaw?dest=ca/caapp4th/129/706.html" TargetMode="External"/><Relationship Id="rId30" Type="http://schemas.openxmlformats.org/officeDocument/2006/relationships/hyperlink" Target="http://login.findlaw.com/scripts/callaw?dest=ca/caapp4th/154/15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6406</Words>
  <Characters>36520</Characters>
  <Application>Microsoft Office Word</Application>
  <DocSecurity>0</DocSecurity>
  <Lines>304</Lines>
  <Paragraphs>85</Paragraphs>
  <ScaleCrop>false</ScaleCrop>
  <Company>Microsoft</Company>
  <LinksUpToDate>false</LinksUpToDate>
  <CharactersWithSpaces>42841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Cox</dc:creator>
  <cp:lastModifiedBy>Charles Cox</cp:lastModifiedBy>
  <cp:revision>1</cp:revision>
  <dcterms:created xsi:type="dcterms:W3CDTF">2012-08-22T17:43:00Z</dcterms:created>
  <dcterms:modified xsi:type="dcterms:W3CDTF">2012-08-22T17:44:00Z</dcterms:modified>
</cp:coreProperties>
</file>