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284" w:rsidRDefault="005D7955">
      <w:pPr>
        <w:pStyle w:val="Normal1"/>
        <w:spacing w:line="240" w:lineRule="exact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style="position:absolute;margin-left:63pt;margin-top:400pt;width:129pt;height:7pt;z-index:-251595776;mso-position-horizontal-relative:page;mso-position-vertical-relative:page" o:allowincell="f">
            <v:imagedata r:id="rId5" o:title=""/>
            <w10:wrap anchorx="page" anchory="page"/>
          </v:shape>
        </w:pict>
      </w:r>
      <w:r>
        <w:pict>
          <v:shape id="_x0000_s1048" type="#_x0000_t75" style="position:absolute;margin-left:189pt;margin-top:387pt;width:350pt;height:7pt;z-index:-251596800;mso-position-horizontal-relative:page;mso-position-vertical-relative:page" o:allowincell="f">
            <v:imagedata r:id="rId6" o:title=""/>
            <w10:wrap anchorx="page" anchory="page"/>
          </v:shape>
        </w:pict>
      </w:r>
      <w:r>
        <w:pict>
          <v:shape id="_x0000_s1049" type="#_x0000_t75" style="position:absolute;margin-left:63pt;margin-top:374pt;width:437pt;height:7pt;z-index:-251597824;mso-position-horizontal-relative:page;mso-position-vertical-relative:page" o:allowincell="f">
            <v:imagedata r:id="rId7" o:title=""/>
            <w10:wrap anchorx="page" anchory="page"/>
          </v:shape>
        </w:pict>
      </w:r>
      <w:r>
        <w:pict>
          <v:shape id="_x0000_s1050" type="#_x0000_t75" style="position:absolute;margin-left:501pt;margin-top:361pt;width:41pt;height:7pt;z-index:-251598848;mso-position-horizontal-relative:page;mso-position-vertical-relative:page" o:allowincell="f">
            <v:imagedata r:id="rId8" o:title=""/>
            <w10:wrap anchorx="page" anchory="page"/>
          </v:shape>
        </w:pict>
      </w:r>
      <w:r>
        <w:pict>
          <v:shape id="_x0000_s1051" type="#_x0000_t75" style="position:absolute;margin-left:66pt;margin-top:76pt;width:13pt;height:13pt;z-index:-251601920;mso-position-horizontal-relative:page;mso-position-vertical-relative:page" o:allowincell="f">
            <v:imagedata r:id="rId9" o:title=""/>
            <w10:wrap anchorx="page" anchory="page"/>
          </v:shape>
        </w:pict>
      </w:r>
      <w:r>
        <w:pict>
          <v:shape id="_x0000_s1052" type="#_x0000_t75" style="position:absolute;margin-left:66pt;margin-top:45pt;width:115pt;height:25pt;z-index:-251632640;mso-position-horizontal-relative:page;mso-position-vertical-relative:page" o:allowincell="f">
            <v:imagedata r:id="rId10" o:title=""/>
            <w10:wrap anchorx="page" anchory="page"/>
          </v:shape>
        </w:pict>
      </w:r>
      <w:r>
        <w:pict>
          <v:shape id="_x0000_s1053" type="#_x0000_t75" style="position:absolute;margin-left:63pt;margin-top:560pt;width:485pt;height:26pt;z-index:-251638784;mso-position-horizontal-relative:page;mso-position-vertical-relative:page" o:allowincell="f">
            <v:imagedata r:id="rId11" o:title=""/>
            <w10:wrap anchorx="page" anchory="page"/>
          </v:shape>
        </w:pict>
      </w:r>
      <w:r>
        <w:pict>
          <v:shape id="_x0000_s1054" type="#_x0000_t75" style="position:absolute;margin-left:63pt;margin-top:482pt;width:485pt;height:26pt;z-index:-251657216;mso-position-horizontal-relative:page;mso-position-vertical-relative:page" o:allowincell="f">
            <v:imagedata r:id="rId11" o:title=""/>
            <w10:wrap anchorx="page" anchory="page"/>
          </v:shape>
        </w:pict>
      </w:r>
      <w:r>
        <w:pict>
          <v:line id="_x0000_s1055" style="position:absolute;z-index:-251655168;mso-position-horizontal-relative:page;mso-position-vertical-relative:page" from="67.5pt,504.3pt" to="544.45pt,504.3pt" o:allowincell="f" strokeweight="1.5pt">
            <w10:wrap anchorx="page" anchory="page"/>
          </v:line>
        </w:pict>
      </w:r>
      <w:r>
        <w:pict>
          <v:polyline id="_x0000_s1056" style="position:absolute;z-index:-251653120;mso-position-horizontal-relative:page;mso-position-vertical-relative:page" points="544.45pt,504.3pt,544.45pt,486.35pt,67.5pt,486.35pt" coordsize="9539,359" o:allowincell="f" filled="f" strokeweight="1.5pt">
            <v:path arrowok="t"/>
            <w10:wrap anchorx="page" anchory="page"/>
          </v:polyline>
        </w:pict>
      </w:r>
      <w:r>
        <w:pict>
          <v:line id="_x0000_s1057" style="position:absolute;z-index:-251651072;mso-position-horizontal-relative:page;mso-position-vertical-relative:page" from="67.5pt,486.35pt" to="67.5pt,504.3pt" o:allowincell="f" strokeweight=".89pt">
            <w10:wrap anchorx="page" anchory="page"/>
          </v:line>
        </w:pict>
      </w:r>
      <w:r>
        <w:pict>
          <v:polyline id="_x0000_s1058" style="position:absolute;z-index:-251636736;mso-position-horizontal-relative:page;mso-position-vertical-relative:page" points="67.5pt,582.1pt,544.45pt,582.1pt,544.45pt,564.15pt,67.5pt,564.15pt" coordsize="9539,359" o:allowincell="f" filled="f" strokeweight="1.5pt">
            <v:path arrowok="t"/>
            <w10:wrap anchorx="page" anchory="page"/>
          </v:polyline>
        </w:pict>
      </w:r>
      <w:r>
        <w:pict>
          <v:line id="_x0000_s1059" style="position:absolute;z-index:-251634688;mso-position-horizontal-relative:page;mso-position-vertical-relative:page" from="67.5pt,564.15pt" to="67.5pt,582.1pt" o:allowincell="f" strokeweight=".89pt">
            <w10:wrap anchorx="page" anchory="page"/>
          </v:line>
        </w:pict>
      </w:r>
      <w:r>
        <w:pict>
          <v:shape id="_x0000_s1060" type="#_x0000_t75" style="position:absolute;margin-left:66.5pt;margin-top:45.75pt;width:114.2pt;height:1.2pt;z-index:-251630592;mso-position-horizontal-relative:page;mso-position-vertical-relative:page" o:allowincell="f">
            <v:imagedata r:id="rId12" o:title=""/>
            <w10:wrap anchorx="page" anchory="page"/>
          </v:shape>
        </w:pict>
      </w:r>
      <w:r>
        <w:pict>
          <v:shape id="_x0000_s1061" type="#_x0000_t75" style="position:absolute;margin-left:66.5pt;margin-top:46.95pt;width:114.2pt;height:1.2pt;z-index:-251628544;mso-position-horizontal-relative:page;mso-position-vertical-relative:page" o:allowincell="f">
            <v:imagedata r:id="rId13" o:title=""/>
            <w10:wrap anchorx="page" anchory="page"/>
          </v:shape>
        </w:pict>
      </w:r>
      <w:r>
        <w:pict>
          <v:shape id="_x0000_s1062" type="#_x0000_t75" style="position:absolute;margin-left:66.5pt;margin-top:48.15pt;width:114.2pt;height:1.2pt;z-index:-251626496;mso-position-horizontal-relative:page;mso-position-vertical-relative:page" o:allowincell="f">
            <v:imagedata r:id="rId14" o:title=""/>
            <w10:wrap anchorx="page" anchory="page"/>
          </v:shape>
        </w:pict>
      </w:r>
      <w:r>
        <w:pict>
          <v:shape id="_x0000_s1063" type="#_x0000_t75" style="position:absolute;margin-left:66.5pt;margin-top:49.35pt;width:114.2pt;height:1.2pt;z-index:-251624448;mso-position-horizontal-relative:page;mso-position-vertical-relative:page" o:allowincell="f">
            <v:imagedata r:id="rId15" o:title=""/>
            <w10:wrap anchorx="page" anchory="page"/>
          </v:shape>
        </w:pict>
      </w:r>
      <w:r>
        <w:pict>
          <v:shape id="_x0000_s1064" type="#_x0000_t75" style="position:absolute;margin-left:66.5pt;margin-top:50.55pt;width:114.2pt;height:1.2pt;z-index:-251622400;mso-position-horizontal-relative:page;mso-position-vertical-relative:page" o:allowincell="f">
            <v:imagedata r:id="rId16" o:title=""/>
            <w10:wrap anchorx="page" anchory="page"/>
          </v:shape>
        </w:pict>
      </w:r>
      <w:r>
        <w:pict>
          <v:shape id="_x0000_s1065" type="#_x0000_t75" style="position:absolute;margin-left:66.5pt;margin-top:51.75pt;width:114.2pt;height:1.2pt;z-index:-251620352;mso-position-horizontal-relative:page;mso-position-vertical-relative:page" o:allowincell="f">
            <v:imagedata r:id="rId17" o:title=""/>
            <w10:wrap anchorx="page" anchory="page"/>
          </v:shape>
        </w:pict>
      </w:r>
      <w:r>
        <w:pict>
          <v:shape id="_x0000_s1066" type="#_x0000_t75" style="position:absolute;margin-left:66.5pt;margin-top:52.95pt;width:114.2pt;height:1.2pt;z-index:-251618304;mso-position-horizontal-relative:page;mso-position-vertical-relative:page" o:allowincell="f">
            <v:imagedata r:id="rId18" o:title=""/>
            <w10:wrap anchorx="page" anchory="page"/>
          </v:shape>
        </w:pict>
      </w:r>
      <w:r>
        <w:pict>
          <v:shape id="_x0000_s1067" type="#_x0000_t75" style="position:absolute;margin-left:66.5pt;margin-top:54.15pt;width:114.2pt;height:1.2pt;z-index:-251616256;mso-position-horizontal-relative:page;mso-position-vertical-relative:page" o:allowincell="f">
            <v:imagedata r:id="rId19" o:title=""/>
            <w10:wrap anchorx="page" anchory="page"/>
          </v:shape>
        </w:pict>
      </w:r>
      <w:r>
        <w:pict>
          <v:shape id="_x0000_s1068" type="#_x0000_t75" style="position:absolute;margin-left:66.5pt;margin-top:55.35pt;width:114.2pt;height:1.2pt;z-index:-251614208;mso-position-horizontal-relative:page;mso-position-vertical-relative:page" o:allowincell="f">
            <v:imagedata r:id="rId20" o:title=""/>
            <w10:wrap anchorx="page" anchory="page"/>
          </v:shape>
        </w:pict>
      </w:r>
      <w:r>
        <w:pict>
          <v:shape id="_x0000_s1069" type="#_x0000_t75" style="position:absolute;margin-left:66.5pt;margin-top:56.55pt;width:114.2pt;height:1.2pt;z-index:-251613184;mso-position-horizontal-relative:page;mso-position-vertical-relative:page" o:allowincell="f">
            <v:imagedata r:id="rId21" o:title=""/>
            <w10:wrap anchorx="page" anchory="page"/>
          </v:shape>
        </w:pict>
      </w:r>
      <w:r>
        <w:pict>
          <v:shape id="_x0000_s1070" type="#_x0000_t75" style="position:absolute;margin-left:66.5pt;margin-top:57.75pt;width:114.2pt;height:1.2pt;z-index:-251612160;mso-position-horizontal-relative:page;mso-position-vertical-relative:page" o:allowincell="f">
            <v:imagedata r:id="rId22" o:title=""/>
            <w10:wrap anchorx="page" anchory="page"/>
          </v:shape>
        </w:pict>
      </w:r>
      <w:r>
        <w:pict>
          <v:shape id="_x0000_s1071" type="#_x0000_t75" style="position:absolute;margin-left:66.5pt;margin-top:58.95pt;width:114.2pt;height:1.2pt;z-index:-251611136;mso-position-horizontal-relative:page;mso-position-vertical-relative:page" o:allowincell="f">
            <v:imagedata r:id="rId23" o:title=""/>
            <w10:wrap anchorx="page" anchory="page"/>
          </v:shape>
        </w:pict>
      </w:r>
      <w:r>
        <w:pict>
          <v:shape id="_x0000_s1072" type="#_x0000_t75" style="position:absolute;margin-left:66.5pt;margin-top:60.15pt;width:114.2pt;height:1.2pt;z-index:-251610112;mso-position-horizontal-relative:page;mso-position-vertical-relative:page" o:allowincell="f">
            <v:imagedata r:id="rId24" o:title=""/>
            <w10:wrap anchorx="page" anchory="page"/>
          </v:shape>
        </w:pict>
      </w:r>
      <w:r>
        <w:pict>
          <v:shape id="_x0000_s1073" type="#_x0000_t75" style="position:absolute;margin-left:66.5pt;margin-top:61.35pt;width:114.2pt;height:1.2pt;z-index:-251609088;mso-position-horizontal-relative:page;mso-position-vertical-relative:page" o:allowincell="f">
            <v:imagedata r:id="rId25" o:title=""/>
            <w10:wrap anchorx="page" anchory="page"/>
          </v:shape>
        </w:pict>
      </w:r>
      <w:r>
        <w:pict>
          <v:shape id="_x0000_s1074" type="#_x0000_t75" style="position:absolute;margin-left:66.5pt;margin-top:62.55pt;width:114.2pt;height:1.2pt;z-index:-251608064;mso-position-horizontal-relative:page;mso-position-vertical-relative:page" o:allowincell="f">
            <v:imagedata r:id="rId26" o:title=""/>
            <w10:wrap anchorx="page" anchory="page"/>
          </v:shape>
        </w:pict>
      </w:r>
      <w:r>
        <w:pict>
          <v:shape id="_x0000_s1075" type="#_x0000_t75" style="position:absolute;margin-left:66.5pt;margin-top:63.75pt;width:114.2pt;height:1.2pt;z-index:-251607040;mso-position-horizontal-relative:page;mso-position-vertical-relative:page" o:allowincell="f">
            <v:imagedata r:id="rId27" o:title=""/>
            <w10:wrap anchorx="page" anchory="page"/>
          </v:shape>
        </w:pict>
      </w:r>
      <w:r>
        <w:pict>
          <v:shape id="_x0000_s1076" type="#_x0000_t75" style="position:absolute;margin-left:66.5pt;margin-top:64.95pt;width:114.2pt;height:1.15pt;z-index:-251606016;mso-position-horizontal-relative:page;mso-position-vertical-relative:page" o:allowincell="f">
            <v:imagedata r:id="rId28" o:title=""/>
            <w10:wrap anchorx="page" anchory="page"/>
          </v:shape>
        </w:pict>
      </w:r>
      <w:r>
        <w:pict>
          <v:shape id="_x0000_s1077" type="#_x0000_t75" style="position:absolute;margin-left:66.5pt;margin-top:66.15pt;width:114.2pt;height:1.15pt;z-index:-251604992;mso-position-horizontal-relative:page;mso-position-vertical-relative:page" o:allowincell="f">
            <v:imagedata r:id="rId29" o:title=""/>
            <w10:wrap anchorx="page" anchory="page"/>
          </v:shape>
        </w:pict>
      </w:r>
      <w:r>
        <w:pict>
          <v:shape id="_x0000_s1078" type="#_x0000_t75" style="position:absolute;margin-left:66.5pt;margin-top:67.35pt;width:114.2pt;height:1.15pt;z-index:-251603968;mso-position-horizontal-relative:page;mso-position-vertical-relative:page" o:allowincell="f">
            <v:imagedata r:id="rId30" o:title=""/>
            <w10:wrap anchorx="page" anchory="page"/>
          </v:shape>
        </w:pict>
      </w:r>
      <w:r>
        <w:pict>
          <v:shape id="_x0000_s1079" type="#_x0000_t75" style="position:absolute;margin-left:66.5pt;margin-top:68.55pt;width:114.2pt;height:.95pt;z-index:-251602944;mso-position-horizontal-relative:page;mso-position-vertical-relative:page" o:allowincell="f">
            <v:imagedata r:id="rId31" o:title=""/>
            <w10:wrap anchorx="page" anchory="page"/>
          </v:shape>
        </w:pict>
      </w:r>
      <w:r>
        <w:pict>
          <v:shape id="_x0000_s1080" type="#_x0000_t75" style="position:absolute;margin-left:66.5pt;margin-top:76.45pt;width:12pt;height:12pt;z-index:-251600896;mso-position-horizontal-relative:page;mso-position-vertical-relative:page" o:allowincell="f">
            <v:imagedata r:id="rId32" o:title=""/>
            <w10:wrap anchorx="page" anchory="page"/>
          </v:shape>
        </w:pict>
      </w:r>
    </w:p>
    <w:p w:rsidR="009E1284" w:rsidRDefault="009E1284">
      <w:pPr>
        <w:pStyle w:val="Normal1"/>
        <w:spacing w:line="276" w:lineRule="exact"/>
        <w:ind w:left="610"/>
      </w:pPr>
    </w:p>
    <w:p w:rsidR="009E1284" w:rsidRDefault="009E1284">
      <w:pPr>
        <w:pStyle w:val="Normal1"/>
        <w:spacing w:line="276" w:lineRule="exact"/>
        <w:ind w:left="610"/>
      </w:pPr>
    </w:p>
    <w:p w:rsidR="009E1284" w:rsidRDefault="009E1284">
      <w:pPr>
        <w:pStyle w:val="Normal1"/>
        <w:spacing w:line="276" w:lineRule="exact"/>
        <w:ind w:left="610"/>
      </w:pPr>
    </w:p>
    <w:p w:rsidR="009E1284" w:rsidRDefault="005D7955">
      <w:pPr>
        <w:pStyle w:val="Normal1"/>
        <w:spacing w:before="23" w:line="276" w:lineRule="exact"/>
        <w:ind w:left="610"/>
        <w:rPr>
          <w:color w:val="000000"/>
          <w:spacing w:val="-3"/>
        </w:rPr>
      </w:pPr>
      <w:r>
        <w:rPr>
          <w:color w:val="000000"/>
          <w:spacing w:val="-3"/>
        </w:rPr>
        <w:t xml:space="preserve">Caution </w:t>
      </w:r>
    </w:p>
    <w:p w:rsidR="009E1284" w:rsidRDefault="005D7955">
      <w:pPr>
        <w:pStyle w:val="Normal1"/>
        <w:spacing w:before="1" w:line="232" w:lineRule="exact"/>
        <w:ind w:left="610"/>
        <w:rPr>
          <w:color w:val="000000"/>
        </w:rPr>
      </w:pPr>
      <w:r>
        <w:rPr>
          <w:color w:val="000000"/>
        </w:rPr>
        <w:t xml:space="preserve">As of: October 19, 2012 9:48 AM EDT </w:t>
      </w:r>
    </w:p>
    <w:p w:rsidR="009E1284" w:rsidRDefault="009E1284">
      <w:pPr>
        <w:pStyle w:val="Normal1"/>
        <w:spacing w:line="299" w:lineRule="exact"/>
        <w:ind w:left="3454"/>
        <w:rPr>
          <w:color w:val="000000"/>
        </w:rPr>
      </w:pPr>
    </w:p>
    <w:p w:rsidR="009E1284" w:rsidRDefault="005D7955">
      <w:pPr>
        <w:pStyle w:val="Normal1"/>
        <w:spacing w:before="274" w:line="299" w:lineRule="exact"/>
        <w:ind w:left="3454"/>
        <w:rPr>
          <w:rFonts w:ascii="Times New Roman Bold" w:hAnsi="Times New Roman Bold"/>
          <w:color w:val="000000"/>
          <w:spacing w:val="-1"/>
          <w:sz w:val="26"/>
        </w:rPr>
      </w:pPr>
      <w:r>
        <w:rPr>
          <w:rFonts w:ascii="Times New Roman Bold" w:hAnsi="Times New Roman Bold"/>
          <w:color w:val="000000"/>
          <w:spacing w:val="-1"/>
          <w:sz w:val="26"/>
        </w:rPr>
        <w:t xml:space="preserve">Gale v. First Franklin Loan </w:t>
      </w:r>
      <w:proofErr w:type="spellStart"/>
      <w:r>
        <w:rPr>
          <w:rFonts w:ascii="Times New Roman Bold" w:hAnsi="Times New Roman Bold"/>
          <w:color w:val="000000"/>
          <w:spacing w:val="-1"/>
          <w:sz w:val="26"/>
        </w:rPr>
        <w:t>Servs</w:t>
      </w:r>
      <w:proofErr w:type="spellEnd"/>
      <w:r>
        <w:rPr>
          <w:rFonts w:ascii="Times New Roman Bold" w:hAnsi="Times New Roman Bold"/>
          <w:color w:val="000000"/>
          <w:spacing w:val="-1"/>
          <w:sz w:val="26"/>
        </w:rPr>
        <w:t xml:space="preserve">. </w:t>
      </w:r>
    </w:p>
    <w:p w:rsidR="009E1284" w:rsidRDefault="005D7955">
      <w:pPr>
        <w:pStyle w:val="Normal1"/>
        <w:spacing w:before="180" w:line="276" w:lineRule="exact"/>
        <w:ind w:left="2820"/>
        <w:rPr>
          <w:color w:val="000000"/>
        </w:rPr>
      </w:pPr>
      <w:r>
        <w:rPr>
          <w:color w:val="000000"/>
        </w:rPr>
        <w:t xml:space="preserve">United States Court of Appeals for the Ninth Circuit </w:t>
      </w:r>
    </w:p>
    <w:p w:rsidR="009E1284" w:rsidRDefault="005D7955">
      <w:pPr>
        <w:pStyle w:val="Normal1"/>
        <w:tabs>
          <w:tab w:val="left" w:pos="4724"/>
        </w:tabs>
        <w:spacing w:before="21" w:line="280" w:lineRule="exact"/>
        <w:ind w:left="1239" w:right="1027"/>
        <w:rPr>
          <w:color w:val="000000"/>
          <w:spacing w:val="-2"/>
        </w:rPr>
      </w:pPr>
      <w:r>
        <w:rPr>
          <w:color w:val="000000"/>
        </w:rPr>
        <w:t xml:space="preserve">May 4, 2012, Argued and Submitted, San Francisco, California; July 12, 2012, Filed </w:t>
      </w:r>
      <w:r>
        <w:rPr>
          <w:color w:val="000000"/>
        </w:rPr>
        <w:br/>
      </w:r>
      <w:r>
        <w:rPr>
          <w:color w:val="000000"/>
        </w:rPr>
        <w:tab/>
      </w:r>
      <w:r>
        <w:rPr>
          <w:color w:val="000000"/>
          <w:spacing w:val="-2"/>
        </w:rPr>
        <w:t xml:space="preserve">No. 09-16498 </w:t>
      </w:r>
    </w:p>
    <w:p w:rsidR="009E1284" w:rsidRDefault="005D7955">
      <w:pPr>
        <w:pStyle w:val="Normal1"/>
        <w:spacing w:before="204" w:line="276" w:lineRule="exact"/>
        <w:ind w:left="610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Reporter:</w:t>
      </w:r>
      <w:r>
        <w:rPr>
          <w:color w:val="000000"/>
          <w:spacing w:val="-1"/>
        </w:rPr>
        <w:t xml:space="preserve"> 686 F.3d 1055; 2012 U.S. App. LEXIS 14264; 2012 WL 2855811 </w:t>
      </w:r>
    </w:p>
    <w:p w:rsidR="009E1284" w:rsidRDefault="005D7955">
      <w:pPr>
        <w:pStyle w:val="Normal1"/>
        <w:spacing w:before="258" w:line="260" w:lineRule="exact"/>
        <w:ind w:left="610" w:right="465"/>
        <w:rPr>
          <w:color w:val="000000"/>
          <w:spacing w:val="-3"/>
        </w:rPr>
      </w:pPr>
      <w:r>
        <w:rPr>
          <w:color w:val="000000"/>
          <w:spacing w:val="-1"/>
        </w:rPr>
        <w:t>RICHARD S. GALE, Plaintiff-Appell</w:t>
      </w:r>
      <w:r>
        <w:rPr>
          <w:color w:val="000000"/>
          <w:spacing w:val="-1"/>
        </w:rPr>
        <w:t xml:space="preserve">ant, v. FIRST FRANKLIN LOAN SERVICES, subsidiary 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 xml:space="preserve">of First Franklin Financial Corporation; FIRST FRANKLIN FINANCIAL CORPORATION; </w:t>
      </w:r>
      <w:r>
        <w:rPr>
          <w:color w:val="000000"/>
          <w:w w:val="104"/>
        </w:rPr>
        <w:br/>
      </w:r>
      <w:r>
        <w:rPr>
          <w:color w:val="000000"/>
          <w:spacing w:val="-2"/>
        </w:rPr>
        <w:t>MORTGAGE ELECTRONIC REGISTRATION SYSTEMS, INC.; CAL-WESTERN RECON-</w:t>
      </w:r>
      <w:r>
        <w:rPr>
          <w:color w:val="000000"/>
          <w:spacing w:val="-2"/>
        </w:rPr>
        <w:br/>
        <w:t>VEYANCE  CORPORATION;  LASALLE  BANK  NATIONAL ASSOCIATION,</w:t>
      </w:r>
      <w:r>
        <w:rPr>
          <w:color w:val="000000"/>
          <w:spacing w:val="-2"/>
        </w:rPr>
        <w:t xml:space="preserve">  Defendants-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 xml:space="preserve">Appellees. </w:t>
      </w:r>
    </w:p>
    <w:p w:rsidR="009E1284" w:rsidRDefault="005D7955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Notice: </w:t>
      </w:r>
    </w:p>
    <w:p w:rsidR="009E1284" w:rsidRDefault="005D7955">
      <w:pPr>
        <w:pStyle w:val="Normal1"/>
        <w:spacing w:before="258" w:line="260" w:lineRule="exact"/>
        <w:ind w:left="610" w:right="524"/>
        <w:rPr>
          <w:rFonts w:ascii="Times New Roman Italic" w:hAnsi="Times New Roman Italic"/>
          <w:color w:val="0000FF"/>
          <w:spacing w:val="-2"/>
          <w:u w:val="single"/>
        </w:rPr>
      </w:pPr>
      <w:r>
        <w:rPr>
          <w:rFonts w:ascii="Times New Roman Bold" w:hAnsi="Times New Roman Bold"/>
          <w:color w:val="000000"/>
        </w:rPr>
        <w:t>Subsequent History:</w:t>
      </w:r>
      <w:r>
        <w:rPr>
          <w:color w:val="000000"/>
        </w:rPr>
        <w:t xml:space="preserve"> Amended by, Rehearing denied by, Rehearing, en banc, denied by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Gale v. First Franklin Loan </w:t>
      </w:r>
      <w:proofErr w:type="spellStart"/>
      <w:r>
        <w:rPr>
          <w:rFonts w:ascii="Times New Roman Italic" w:hAnsi="Times New Roman Italic"/>
          <w:color w:val="0000FF"/>
          <w:u w:val="single"/>
        </w:rPr>
        <w:t>Servs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., 2012 U.S. App. LEXIS 18546 (9th Cir. Nev., Aug. 31, 2012)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00"/>
        </w:rPr>
        <w:t>Reprinted as amended at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Gale v. First Franklin Loan </w:t>
      </w:r>
      <w:proofErr w:type="spellStart"/>
      <w:r>
        <w:rPr>
          <w:rFonts w:ascii="Times New Roman Italic" w:hAnsi="Times New Roman Italic"/>
          <w:color w:val="0000FF"/>
          <w:u w:val="single"/>
        </w:rPr>
        <w:t>Servs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., 2012 U.S. App. LEXIS 18545 (9th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Cir. Nev., Aug. 31, 2012) </w:t>
      </w:r>
    </w:p>
    <w:p w:rsidR="009E1284" w:rsidRDefault="005D7955">
      <w:pPr>
        <w:pStyle w:val="Normal1"/>
        <w:tabs>
          <w:tab w:val="left" w:pos="2242"/>
        </w:tabs>
        <w:spacing w:before="260" w:line="260" w:lineRule="exact"/>
        <w:ind w:left="610" w:right="653"/>
        <w:jc w:val="both"/>
        <w:rPr>
          <w:color w:val="000000"/>
        </w:rPr>
      </w:pPr>
      <w:r>
        <w:rPr>
          <w:rFonts w:ascii="Times New Roman Bold" w:hAnsi="Times New Roman Bold"/>
          <w:color w:val="000000"/>
          <w:spacing w:val="-2"/>
        </w:rPr>
        <w:t xml:space="preserve">Prior History: </w:t>
      </w:r>
      <w:r>
        <w:rPr>
          <w:rFonts w:ascii="Times New Roman Bold" w:hAnsi="Times New Roman Bold"/>
          <w:color w:val="000000"/>
          <w:spacing w:val="-2"/>
        </w:rPr>
        <w:tab/>
      </w:r>
      <w:r>
        <w:rPr>
          <w:rFonts w:ascii="Times New Roman Bold" w:hAnsi="Times New Roman Bold"/>
          <w:color w:val="000000"/>
        </w:rPr>
        <w:t>[**1]</w:t>
      </w:r>
      <w:r>
        <w:rPr>
          <w:color w:val="000000"/>
        </w:rPr>
        <w:t xml:space="preserve"> Appeal from the United States District Court for the District of Nevada. </w:t>
      </w:r>
      <w:r>
        <w:rPr>
          <w:color w:val="000000"/>
        </w:rPr>
        <w:t xml:space="preserve">D.C. No. 2:08-cv-01615-RCJ-PAL. Robert Clive Jones, Chief District Judge, Presiding. </w:t>
      </w:r>
    </w:p>
    <w:p w:rsidR="009E1284" w:rsidRDefault="005D7955">
      <w:pPr>
        <w:pStyle w:val="Normal1"/>
        <w:spacing w:before="247" w:line="276" w:lineRule="exact"/>
        <w:ind w:left="610"/>
        <w:rPr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>Disposition:</w:t>
      </w:r>
      <w:r>
        <w:rPr>
          <w:color w:val="000000"/>
          <w:spacing w:val="-3"/>
        </w:rPr>
        <w:t xml:space="preserve"> AFFIRMED IN PART, VACATED IN PART, and REMANDED. </w:t>
      </w:r>
    </w:p>
    <w:p w:rsidR="009E1284" w:rsidRDefault="009E1284">
      <w:pPr>
        <w:pStyle w:val="Normal1"/>
        <w:spacing w:line="276" w:lineRule="exact"/>
        <w:ind w:left="750"/>
        <w:rPr>
          <w:color w:val="000000"/>
          <w:spacing w:val="-3"/>
        </w:rPr>
      </w:pPr>
    </w:p>
    <w:p w:rsidR="009E1284" w:rsidRDefault="005D7955">
      <w:pPr>
        <w:pStyle w:val="Normal1"/>
        <w:spacing w:before="88" w:line="276" w:lineRule="exact"/>
        <w:ind w:left="750"/>
        <w:rPr>
          <w:rFonts w:ascii="Times New Roman Bold" w:hAnsi="Times New Roman Bold"/>
          <w:color w:val="000000"/>
          <w:spacing w:val="-4"/>
        </w:rPr>
      </w:pPr>
      <w:r>
        <w:rPr>
          <w:rFonts w:ascii="Times New Roman Bold" w:hAnsi="Times New Roman Bold"/>
          <w:color w:val="000000"/>
          <w:spacing w:val="-4"/>
        </w:rPr>
        <w:t xml:space="preserve">Core Terms </w:t>
      </w:r>
    </w:p>
    <w:p w:rsidR="009E1284" w:rsidRDefault="005D7955">
      <w:pPr>
        <w:pStyle w:val="Normal1"/>
        <w:spacing w:before="138" w:line="260" w:lineRule="exact"/>
        <w:ind w:left="610" w:right="654"/>
        <w:rPr>
          <w:color w:val="000000"/>
          <w:spacing w:val="-1"/>
        </w:rPr>
      </w:pPr>
      <w:r>
        <w:rPr>
          <w:color w:val="000000"/>
        </w:rPr>
        <w:t>assignee, consumer, foreclosure, mortgage, good faith, entities, sentence, district court, obl</w:t>
      </w:r>
      <w:r>
        <w:rPr>
          <w:color w:val="000000"/>
        </w:rPr>
        <w:t xml:space="preserve">igor, fail to respond, correspondence, administrative convenience, failure to respond, fair dealing, </w:t>
      </w:r>
      <w:r>
        <w:rPr>
          <w:color w:val="000000"/>
          <w:spacing w:val="-1"/>
        </w:rPr>
        <w:t xml:space="preserve">covenant, nominal, </w:t>
      </w:r>
      <w:proofErr w:type="spellStart"/>
      <w:r>
        <w:rPr>
          <w:color w:val="000000"/>
          <w:spacing w:val="-1"/>
        </w:rPr>
        <w:t>bailee</w:t>
      </w:r>
      <w:proofErr w:type="spellEnd"/>
      <w:r>
        <w:rPr>
          <w:color w:val="000000"/>
          <w:spacing w:val="-1"/>
        </w:rPr>
        <w:t xml:space="preserve"> </w:t>
      </w:r>
    </w:p>
    <w:p w:rsidR="009E1284" w:rsidRDefault="009E1284">
      <w:pPr>
        <w:pStyle w:val="Normal1"/>
        <w:spacing w:line="276" w:lineRule="exact"/>
        <w:ind w:left="750"/>
        <w:rPr>
          <w:color w:val="000000"/>
          <w:spacing w:val="-1"/>
        </w:rPr>
      </w:pPr>
    </w:p>
    <w:p w:rsidR="009E1284" w:rsidRDefault="005D7955">
      <w:pPr>
        <w:pStyle w:val="Normal1"/>
        <w:spacing w:before="91" w:line="276" w:lineRule="exact"/>
        <w:ind w:left="75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Case Summary </w:t>
      </w:r>
    </w:p>
    <w:p w:rsidR="009E1284" w:rsidRDefault="005D7955">
      <w:pPr>
        <w:pStyle w:val="Normal1"/>
        <w:spacing w:before="184" w:line="276" w:lineRule="exact"/>
        <w:ind w:left="61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Procedural Posture </w:t>
      </w:r>
    </w:p>
    <w:p w:rsidR="009E1284" w:rsidRDefault="005D7955">
      <w:pPr>
        <w:pStyle w:val="Normal1"/>
        <w:spacing w:before="1" w:line="256" w:lineRule="exact"/>
        <w:ind w:left="610"/>
        <w:rPr>
          <w:color w:val="000000"/>
        </w:rPr>
      </w:pPr>
      <w:r>
        <w:rPr>
          <w:color w:val="000000"/>
        </w:rPr>
        <w:t xml:space="preserve">Plaintiff borrower appealed from the United States District Court for the District of Nevada, </w:t>
      </w:r>
    </w:p>
    <w:p w:rsidR="009E1284" w:rsidRDefault="005D7955">
      <w:pPr>
        <w:pStyle w:val="Normal1"/>
        <w:spacing w:before="9" w:line="250" w:lineRule="exact"/>
        <w:ind w:left="610" w:right="473"/>
        <w:rPr>
          <w:color w:val="000000"/>
        </w:rPr>
      </w:pPr>
      <w:r>
        <w:rPr>
          <w:color w:val="000000"/>
        </w:rPr>
        <w:t>which dismissed his amended complaint against defendants, his mortgage lender and others. The complaint included a claim under the Truth in Lending Act (TILA), a</w:t>
      </w:r>
      <w:r>
        <w:rPr>
          <w:color w:val="000000"/>
        </w:rPr>
        <w:t xml:space="preserve">lleged a violation of Nevada’s covenant of good faith and fair dealing, and raised additional state claims. </w:t>
      </w:r>
    </w:p>
    <w:p w:rsidR="009E1284" w:rsidRDefault="005D7955">
      <w:pPr>
        <w:pStyle w:val="Normal1"/>
        <w:spacing w:before="249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Overview </w:t>
      </w:r>
    </w:p>
    <w:p w:rsidR="009E1284" w:rsidRDefault="005D7955">
      <w:pPr>
        <w:pStyle w:val="Normal1"/>
        <w:spacing w:line="260" w:lineRule="exact"/>
        <w:ind w:left="610" w:right="525"/>
        <w:jc w:val="both"/>
        <w:rPr>
          <w:color w:val="000000"/>
        </w:rPr>
      </w:pPr>
      <w:r>
        <w:rPr>
          <w:color w:val="000000"/>
        </w:rPr>
        <w:t xml:space="preserve">The borrower’s TILA claim arose from the lender’s failure to provide the name and address of </w:t>
      </w:r>
      <w:r>
        <w:rPr>
          <w:color w:val="000000"/>
        </w:rPr>
        <w:br/>
        <w:t xml:space="preserve">the true owner of the obligation or holder </w:t>
      </w:r>
      <w:r>
        <w:rPr>
          <w:color w:val="000000"/>
        </w:rPr>
        <w:t xml:space="preserve">of his promissory note. The borrower based his TILA 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</w:rPr>
      </w:pPr>
    </w:p>
    <w:p w:rsidR="009E1284" w:rsidRDefault="009E1284">
      <w:pPr>
        <w:pStyle w:val="Normal1"/>
        <w:spacing w:line="230" w:lineRule="exact"/>
        <w:ind w:left="4895"/>
        <w:rPr>
          <w:color w:val="000000"/>
        </w:rPr>
      </w:pPr>
    </w:p>
    <w:p w:rsidR="009E1284" w:rsidRDefault="005D7955">
      <w:pPr>
        <w:pStyle w:val="Normal1"/>
        <w:spacing w:before="203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1" w:name="Pg2"/>
      <w:bookmarkEnd w:id="1"/>
      <w:r>
        <w:rPr>
          <w:color w:val="000000"/>
          <w:w w:val="103"/>
          <w:sz w:val="20"/>
        </w:rPr>
        <w:lastRenderedPageBreak/>
        <w:t xml:space="preserve">Page 2 of 7 </w:t>
      </w:r>
    </w:p>
    <w:p w:rsidR="009E1284" w:rsidRDefault="005D7955">
      <w:pPr>
        <w:pStyle w:val="Normal1"/>
        <w:spacing w:line="180" w:lineRule="exact"/>
        <w:ind w:left="3052"/>
        <w:rPr>
          <w:color w:val="000000"/>
          <w:sz w:val="20"/>
        </w:rPr>
      </w:pPr>
      <w:r>
        <w:rPr>
          <w:color w:val="000000"/>
          <w:sz w:val="20"/>
        </w:rPr>
        <w:t xml:space="preserve">686 F.3d 1055, *1055; 2012 U.S. App. LEXIS 14264, **1 </w:t>
      </w:r>
    </w:p>
    <w:p w:rsidR="009E1284" w:rsidRDefault="009E1284">
      <w:pPr>
        <w:pStyle w:val="Normal1"/>
        <w:spacing w:line="260" w:lineRule="exact"/>
        <w:ind w:left="610"/>
        <w:rPr>
          <w:color w:val="000000"/>
          <w:sz w:val="20"/>
        </w:rPr>
      </w:pPr>
    </w:p>
    <w:p w:rsidR="009E1284" w:rsidRDefault="005D7955">
      <w:pPr>
        <w:pStyle w:val="Normal1"/>
        <w:spacing w:before="26" w:line="260" w:lineRule="exact"/>
        <w:ind w:left="610" w:right="338"/>
        <w:rPr>
          <w:color w:val="000000"/>
          <w:spacing w:val="-2"/>
        </w:rPr>
      </w:pPr>
      <w:r>
        <w:rPr>
          <w:color w:val="000000"/>
        </w:rPr>
        <w:t>claim on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15 U.S.C.S. § 1641(f)(2)</w:t>
      </w:r>
      <w:r>
        <w:rPr>
          <w:color w:val="000000"/>
        </w:rPr>
        <w:t xml:space="preserve">. In its analysis of the statutory context, the court determined </w:t>
      </w:r>
      <w:r>
        <w:rPr>
          <w:color w:val="000000"/>
        </w:rPr>
        <w:br/>
        <w:t xml:space="preserve">that </w:t>
      </w:r>
      <w:r>
        <w:rPr>
          <w:color w:val="000000"/>
        </w:rPr>
        <w:t>it would have been anomalous for Congress to randomly impose a duty on servicers in gen-</w:t>
      </w:r>
      <w:r>
        <w:rPr>
          <w:color w:val="000000"/>
        </w:rPr>
        <w:br/>
      </w:r>
      <w:proofErr w:type="spellStart"/>
      <w:r>
        <w:rPr>
          <w:color w:val="000000"/>
          <w:spacing w:val="-3"/>
        </w:rPr>
        <w:t>eral</w:t>
      </w:r>
      <w:proofErr w:type="spellEnd"/>
      <w:r>
        <w:rPr>
          <w:color w:val="000000"/>
          <w:spacing w:val="-3"/>
        </w:rPr>
        <w:t xml:space="preserve"> in a section otherwise completely devoted to describing the duties of assignees, and more </w:t>
      </w:r>
      <w:proofErr w:type="spellStart"/>
      <w:r>
        <w:rPr>
          <w:color w:val="000000"/>
          <w:spacing w:val="-3"/>
        </w:rPr>
        <w:t>criti</w:t>
      </w:r>
      <w:proofErr w:type="spellEnd"/>
      <w:r>
        <w:rPr>
          <w:color w:val="000000"/>
          <w:spacing w:val="-3"/>
        </w:rPr>
        <w:t>-</w:t>
      </w:r>
      <w:r>
        <w:rPr>
          <w:color w:val="000000"/>
          <w:spacing w:val="-3"/>
        </w:rPr>
        <w:br/>
      </w:r>
      <w:proofErr w:type="spellStart"/>
      <w:r>
        <w:rPr>
          <w:color w:val="000000"/>
        </w:rPr>
        <w:t>cally</w:t>
      </w:r>
      <w:proofErr w:type="spellEnd"/>
      <w:r>
        <w:rPr>
          <w:color w:val="000000"/>
        </w:rPr>
        <w:t>, in a subsection that pertained only to servicer-assignees.</w:t>
      </w:r>
      <w:r>
        <w:rPr>
          <w:color w:val="000000"/>
        </w:rPr>
        <w:t xml:space="preserve"> Reading the statute as a whole and </w:t>
      </w:r>
      <w:r>
        <w:rPr>
          <w:color w:val="000000"/>
        </w:rPr>
        <w:br/>
      </w:r>
      <w:r>
        <w:rPr>
          <w:color w:val="000000"/>
          <w:w w:val="102"/>
        </w:rPr>
        <w:t>with respect to the subsection at issue, the court concluded that the duty to provide notice un-</w:t>
      </w:r>
      <w:r>
        <w:rPr>
          <w:color w:val="000000"/>
          <w:w w:val="102"/>
        </w:rPr>
        <w:br/>
      </w:r>
      <w:r>
        <w:rPr>
          <w:color w:val="000000"/>
          <w:spacing w:val="-2"/>
        </w:rPr>
        <w:t>der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§ 1641(f)(2)</w:t>
      </w:r>
      <w:r>
        <w:rPr>
          <w:color w:val="000000"/>
          <w:spacing w:val="-2"/>
        </w:rPr>
        <w:t xml:space="preserve"> applied only to a servicer-assignee, which did not include the lender in the case be-</w:t>
      </w:r>
      <w:r>
        <w:rPr>
          <w:color w:val="000000"/>
          <w:spacing w:val="-2"/>
        </w:rPr>
        <w:br/>
      </w:r>
      <w:r>
        <w:rPr>
          <w:color w:val="000000"/>
          <w:spacing w:val="-2"/>
        </w:rPr>
        <w:t xml:space="preserve">fore the court. The court agreed with the district court that the lender’s failure to respond did </w:t>
      </w:r>
    </w:p>
    <w:p w:rsidR="009E1284" w:rsidRDefault="005D7955">
      <w:pPr>
        <w:pStyle w:val="Normal1"/>
        <w:spacing w:line="260" w:lineRule="exact"/>
        <w:ind w:left="610" w:right="398"/>
        <w:rPr>
          <w:color w:val="000000"/>
        </w:rPr>
      </w:pPr>
      <w:r>
        <w:rPr>
          <w:color w:val="000000"/>
        </w:rPr>
        <w:t>not violate the covenant of good faith and fair dealing under Nevada law. Under the contract at issue, default automatically provided the right of foreclosur</w:t>
      </w:r>
      <w:r>
        <w:rPr>
          <w:color w:val="000000"/>
        </w:rPr>
        <w:t xml:space="preserve">e, whether or not the holder of the </w:t>
      </w:r>
      <w:r>
        <w:rPr>
          <w:color w:val="000000"/>
        </w:rPr>
        <w:br/>
        <w:t xml:space="preserve">note and mortgage </w:t>
      </w:r>
      <w:proofErr w:type="spellStart"/>
      <w:r>
        <w:rPr>
          <w:color w:val="000000"/>
        </w:rPr>
        <w:t>believesd</w:t>
      </w:r>
      <w:proofErr w:type="spellEnd"/>
      <w:r>
        <w:rPr>
          <w:color w:val="000000"/>
        </w:rPr>
        <w:t xml:space="preserve"> that the default might be remedied. </w:t>
      </w:r>
    </w:p>
    <w:p w:rsidR="009E1284" w:rsidRDefault="005D7955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Outcome </w:t>
      </w:r>
    </w:p>
    <w:p w:rsidR="009E1284" w:rsidRDefault="005D7955">
      <w:pPr>
        <w:pStyle w:val="Normal1"/>
        <w:spacing w:line="260" w:lineRule="exact"/>
        <w:ind w:left="610" w:right="438"/>
        <w:jc w:val="both"/>
        <w:rPr>
          <w:color w:val="000000"/>
        </w:rPr>
      </w:pPr>
      <w:r>
        <w:rPr>
          <w:color w:val="000000"/>
        </w:rPr>
        <w:t>The court affirmed the dismissal of claims under TILA and Nevada’s covenant of good faith and fair dealing. The court remanded the remaining stat</w:t>
      </w:r>
      <w:r>
        <w:rPr>
          <w:color w:val="000000"/>
        </w:rPr>
        <w:t xml:space="preserve">e claims to the district court. </w:t>
      </w:r>
    </w:p>
    <w:p w:rsidR="009E1284" w:rsidRDefault="009E1284">
      <w:pPr>
        <w:pStyle w:val="Normal1"/>
        <w:spacing w:line="276" w:lineRule="exact"/>
        <w:ind w:left="750"/>
        <w:rPr>
          <w:color w:val="000000"/>
        </w:rPr>
      </w:pPr>
    </w:p>
    <w:p w:rsidR="009E1284" w:rsidRDefault="005D7955">
      <w:pPr>
        <w:pStyle w:val="Normal1"/>
        <w:spacing w:before="89" w:line="276" w:lineRule="exact"/>
        <w:ind w:left="750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 xml:space="preserve">LexisNexis® Headnotes </w:t>
      </w:r>
    </w:p>
    <w:p w:rsidR="009E1284" w:rsidRDefault="005D7955">
      <w:pPr>
        <w:pStyle w:val="Normal1"/>
        <w:spacing w:before="182" w:line="230" w:lineRule="exact"/>
        <w:ind w:left="8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Governments &gt; Legislation &gt; Interpretation </w:t>
      </w:r>
    </w:p>
    <w:p w:rsidR="009E1284" w:rsidRDefault="005D7955">
      <w:pPr>
        <w:pStyle w:val="Normal1"/>
        <w:spacing w:before="192" w:line="276" w:lineRule="exact"/>
        <w:ind w:left="610"/>
        <w:rPr>
          <w:color w:val="000000"/>
        </w:rPr>
      </w:pPr>
      <w:r>
        <w:rPr>
          <w:rFonts w:ascii="Times New Roman Bold Italic" w:hAnsi="Times New Roman Bold Italic"/>
          <w:color w:val="000000"/>
        </w:rPr>
        <w:t>HN1</w:t>
      </w:r>
      <w:r>
        <w:rPr>
          <w:color w:val="000000"/>
        </w:rPr>
        <w:t xml:space="preserve"> The United States Court of Appeals for the Ninth Circuit starts with the premise that the </w:t>
      </w:r>
    </w:p>
    <w:p w:rsidR="009E1284" w:rsidRDefault="005D7955">
      <w:pPr>
        <w:pStyle w:val="Normal1"/>
        <w:spacing w:line="260" w:lineRule="exact"/>
        <w:ind w:left="610" w:right="398"/>
        <w:jc w:val="both"/>
        <w:rPr>
          <w:color w:val="000000"/>
        </w:rPr>
      </w:pPr>
      <w:r>
        <w:rPr>
          <w:color w:val="000000"/>
        </w:rPr>
        <w:t xml:space="preserve">words of a statute must be read in their context and with a </w:t>
      </w:r>
      <w:r>
        <w:rPr>
          <w:color w:val="000000"/>
        </w:rPr>
        <w:t xml:space="preserve">view to their place in the overall statutory scheme. The court’s goal is to understand the statute as a symmetrical and coherent regulatory scheme and to fit, if possible, all parts into a harmonious whole. </w:t>
      </w:r>
    </w:p>
    <w:p w:rsidR="009E1284" w:rsidRDefault="009E1284">
      <w:pPr>
        <w:pStyle w:val="Normal1"/>
        <w:spacing w:line="230" w:lineRule="exact"/>
        <w:ind w:left="810"/>
        <w:rPr>
          <w:color w:val="000000"/>
        </w:rPr>
      </w:pPr>
    </w:p>
    <w:p w:rsidR="009E1284" w:rsidRDefault="005D7955">
      <w:pPr>
        <w:pStyle w:val="Normal1"/>
        <w:spacing w:before="13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>Banking Law &gt; Consumer Protection &gt; Truth in Le</w:t>
      </w:r>
      <w:r>
        <w:rPr>
          <w:color w:val="000000"/>
          <w:sz w:val="20"/>
        </w:rPr>
        <w:t xml:space="preserve">nding &gt; Liability for Violations </w:t>
      </w:r>
    </w:p>
    <w:p w:rsidR="009E1284" w:rsidRDefault="005D7955">
      <w:pPr>
        <w:pStyle w:val="Normal1"/>
        <w:spacing w:before="172" w:line="276" w:lineRule="exact"/>
        <w:ind w:left="610"/>
        <w:rPr>
          <w:color w:val="000000"/>
        </w:rPr>
      </w:pPr>
      <w:r>
        <w:rPr>
          <w:rFonts w:ascii="Times New Roman Bold Italic" w:hAnsi="Times New Roman Bold Italic"/>
          <w:color w:val="000000"/>
        </w:rPr>
        <w:t>HN2</w:t>
      </w:r>
      <w:r>
        <w:rPr>
          <w:color w:val="000000"/>
        </w:rPr>
        <w:t xml:space="preserve"> The context of the final sentence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15 U.S.C.S. § 1641(f)(2)</w:t>
      </w:r>
      <w:r>
        <w:rPr>
          <w:color w:val="000000"/>
        </w:rPr>
        <w:t xml:space="preserve"> within subsection (f), and </w:t>
      </w:r>
    </w:p>
    <w:p w:rsidR="009E1284" w:rsidRDefault="005D7955">
      <w:pPr>
        <w:pStyle w:val="Normal1"/>
        <w:spacing w:line="260" w:lineRule="exact"/>
        <w:ind w:left="610" w:right="399"/>
        <w:jc w:val="both"/>
        <w:rPr>
          <w:color w:val="000000"/>
          <w:spacing w:val="-1"/>
        </w:rPr>
      </w:pPr>
      <w:r>
        <w:rPr>
          <w:color w:val="000000"/>
        </w:rPr>
        <w:t>within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</w:t>
      </w:r>
      <w:r>
        <w:rPr>
          <w:color w:val="000000"/>
        </w:rPr>
        <w:t xml:space="preserve"> as a whole, indicates that liability for failing to respond to the obligor attaches only </w:t>
      </w:r>
      <w:r>
        <w:rPr>
          <w:color w:val="000000"/>
          <w:spacing w:val="-1"/>
        </w:rPr>
        <w:t xml:space="preserve">to those servicers who </w:t>
      </w:r>
      <w:r>
        <w:rPr>
          <w:color w:val="000000"/>
          <w:spacing w:val="-1"/>
        </w:rPr>
        <w:t xml:space="preserve">are also assignees of the loan. </w:t>
      </w:r>
    </w:p>
    <w:p w:rsidR="009E1284" w:rsidRDefault="009E1284">
      <w:pPr>
        <w:pStyle w:val="Normal1"/>
        <w:spacing w:line="230" w:lineRule="exact"/>
        <w:ind w:left="810"/>
        <w:rPr>
          <w:color w:val="000000"/>
          <w:spacing w:val="-1"/>
        </w:rPr>
      </w:pPr>
    </w:p>
    <w:p w:rsidR="009E1284" w:rsidRDefault="005D7955">
      <w:pPr>
        <w:pStyle w:val="Normal1"/>
        <w:spacing w:before="33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Banking Law &gt; Consumer Protection &gt; Truth in Lending &gt; Liability for Violations </w:t>
      </w:r>
    </w:p>
    <w:p w:rsidR="009E1284" w:rsidRDefault="005D7955">
      <w:pPr>
        <w:pStyle w:val="Normal1"/>
        <w:spacing w:before="172" w:line="276" w:lineRule="exact"/>
        <w:ind w:left="610"/>
        <w:rPr>
          <w:rFonts w:ascii="Times New Roman Italic" w:hAnsi="Times New Roman Italic"/>
          <w:color w:val="0000FF"/>
          <w:w w:val="102"/>
          <w:u w:val="single"/>
        </w:rPr>
      </w:pPr>
      <w:r>
        <w:rPr>
          <w:rFonts w:ascii="Times New Roman Bold Italic" w:hAnsi="Times New Roman Bold Italic"/>
          <w:color w:val="000000"/>
          <w:w w:val="102"/>
        </w:rPr>
        <w:t>HN3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15 U.S.C.S. § 1641</w:t>
      </w:r>
      <w:r>
        <w:rPr>
          <w:color w:val="000000"/>
          <w:w w:val="102"/>
        </w:rPr>
        <w:t xml:space="preserve"> does not address the liability of creditors in general; rather each of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§ </w:t>
      </w:r>
    </w:p>
    <w:p w:rsidR="009E1284" w:rsidRDefault="005D7955">
      <w:pPr>
        <w:pStyle w:val="Normal1"/>
        <w:spacing w:line="260" w:lineRule="exact"/>
        <w:ind w:left="610" w:right="416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u w:val="single"/>
        </w:rPr>
        <w:t>1641</w:t>
      </w:r>
      <w:r>
        <w:rPr>
          <w:color w:val="000000"/>
        </w:rPr>
        <w:t>’s subsections address entities who are purchasers or assignees of mortgages. Subsection (f), the final subsection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</w:t>
      </w:r>
      <w:r>
        <w:rPr>
          <w:color w:val="000000"/>
        </w:rPr>
        <w:t xml:space="preserve"> in 2008, is no exception. Although it concerns servicers in particular, these servicers, like the other entities regulated by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</w:t>
      </w:r>
      <w:r>
        <w:rPr>
          <w:rFonts w:ascii="Times New Roman Italic" w:hAnsi="Times New Roman Italic"/>
          <w:color w:val="0000FF"/>
          <w:u w:val="single"/>
        </w:rPr>
        <w:t>641</w:t>
      </w:r>
      <w:r>
        <w:rPr>
          <w:color w:val="000000"/>
        </w:rPr>
        <w:t xml:space="preserve">, are also assignees. </w:t>
      </w:r>
    </w:p>
    <w:p w:rsidR="009E1284" w:rsidRDefault="005D7955">
      <w:pPr>
        <w:pStyle w:val="Normal1"/>
        <w:spacing w:before="90" w:line="440" w:lineRule="exact"/>
        <w:ind w:left="610" w:right="3383" w:firstLine="199"/>
        <w:jc w:val="both"/>
        <w:rPr>
          <w:color w:val="000000"/>
        </w:rPr>
      </w:pPr>
      <w:r>
        <w:rPr>
          <w:color w:val="000000"/>
          <w:sz w:val="20"/>
        </w:rPr>
        <w:t xml:space="preserve">Banking Law &gt; Consumer Protection &gt; Truth in Lending &gt; General Overview </w:t>
      </w:r>
      <w:r>
        <w:rPr>
          <w:rFonts w:ascii="Times New Roman Bold Italic" w:hAnsi="Times New Roman Bold Italic"/>
          <w:color w:val="000000"/>
        </w:rPr>
        <w:t>HN4</w:t>
      </w:r>
      <w:r>
        <w:rPr>
          <w:color w:val="000000"/>
        </w:rPr>
        <w:t xml:space="preserve">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15 U.S.C.S. § 1641(f)</w:t>
      </w:r>
      <w:r>
        <w:rPr>
          <w:color w:val="000000"/>
        </w:rPr>
        <w:t xml:space="preserve">. </w:t>
      </w:r>
    </w:p>
    <w:p w:rsidR="009E1284" w:rsidRDefault="009E1284">
      <w:pPr>
        <w:pStyle w:val="Normal1"/>
        <w:spacing w:line="230" w:lineRule="exact"/>
        <w:ind w:left="810"/>
        <w:rPr>
          <w:color w:val="000000"/>
        </w:rPr>
      </w:pPr>
    </w:p>
    <w:p w:rsidR="009E1284" w:rsidRDefault="005D7955">
      <w:pPr>
        <w:pStyle w:val="Normal1"/>
        <w:spacing w:before="4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Banking Law &gt; Consumer Protection &gt; Truth in Lending &gt; General Overview </w:t>
      </w:r>
    </w:p>
    <w:p w:rsidR="009E1284" w:rsidRDefault="005D7955">
      <w:pPr>
        <w:pStyle w:val="Normal1"/>
        <w:spacing w:before="186" w:line="260" w:lineRule="exact"/>
        <w:ind w:left="610" w:right="399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w w:val="102"/>
        </w:rPr>
        <w:t>HN5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15 U.S.C.S. § 1641(f)</w:t>
      </w:r>
      <w:r>
        <w:rPr>
          <w:color w:val="000000"/>
          <w:w w:val="102"/>
        </w:rPr>
        <w:t xml:space="preserve">, in keeping with the </w:t>
      </w:r>
      <w:r>
        <w:rPr>
          <w:color w:val="000000"/>
          <w:w w:val="102"/>
        </w:rPr>
        <w:t>theme of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§ 1641</w:t>
      </w:r>
      <w:r>
        <w:rPr>
          <w:color w:val="000000"/>
          <w:w w:val="102"/>
        </w:rPr>
        <w:t xml:space="preserve"> as a whole, and the other sub-</w:t>
      </w:r>
      <w:r>
        <w:rPr>
          <w:color w:val="000000"/>
          <w:w w:val="102"/>
        </w:rPr>
        <w:br/>
        <w:t>sections of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§ 1641</w:t>
      </w:r>
      <w:r>
        <w:rPr>
          <w:color w:val="000000"/>
          <w:w w:val="102"/>
        </w:rPr>
        <w:t xml:space="preserve">, addresses only the assignee liability of a servicer, and sets out a general </w:t>
      </w:r>
      <w:r>
        <w:rPr>
          <w:color w:val="000000"/>
          <w:w w:val="102"/>
        </w:rPr>
        <w:br/>
      </w:r>
      <w:r>
        <w:rPr>
          <w:color w:val="000000"/>
        </w:rPr>
        <w:t xml:space="preserve">rule that a servicer must be the assignee-owner of the obligation to incur assignee liability. As </w:t>
      </w:r>
      <w:r>
        <w:rPr>
          <w:color w:val="000000"/>
        </w:rPr>
        <w:br/>
        <w:t xml:space="preserve">the House </w:t>
      </w:r>
      <w:r>
        <w:rPr>
          <w:color w:val="000000"/>
        </w:rPr>
        <w:t>Report for the Truth in Lending Act (TILA) amendments that added subsection (f) ex-</w:t>
      </w:r>
      <w:r>
        <w:rPr>
          <w:color w:val="000000"/>
        </w:rPr>
        <w:br/>
      </w:r>
      <w:proofErr w:type="spellStart"/>
      <w:r>
        <w:rPr>
          <w:color w:val="000000"/>
        </w:rPr>
        <w:t>plained</w:t>
      </w:r>
      <w:proofErr w:type="spellEnd"/>
      <w:r>
        <w:rPr>
          <w:color w:val="000000"/>
        </w:rPr>
        <w:t>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a number of recent consumer lawsuits against mortgage loan servicers have claimed </w:t>
      </w:r>
      <w:r>
        <w:rPr>
          <w:color w:val="000000"/>
        </w:rPr>
        <w:br/>
      </w:r>
      <w:r>
        <w:rPr>
          <w:color w:val="000000"/>
          <w:w w:val="102"/>
        </w:rPr>
        <w:t xml:space="preserve">the servicer is an assignee of the creditor who made the loan and is therefore </w:t>
      </w:r>
      <w:r>
        <w:rPr>
          <w:color w:val="000000"/>
          <w:w w:val="102"/>
        </w:rPr>
        <w:t xml:space="preserve">liable. This </w:t>
      </w:r>
      <w:proofErr w:type="spellStart"/>
      <w:r>
        <w:rPr>
          <w:color w:val="000000"/>
          <w:w w:val="102"/>
        </w:rPr>
        <w:t>provi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  <w:w w:val="102"/>
        </w:rPr>
        <w:t>sion</w:t>
      </w:r>
      <w:proofErr w:type="spellEnd"/>
      <w:r>
        <w:rPr>
          <w:color w:val="000000"/>
          <w:w w:val="102"/>
        </w:rPr>
        <w:t xml:space="preserve"> clarifies that the loan servicer (the entity collecting payments from the consumer and other-</w:t>
      </w:r>
      <w:r>
        <w:rPr>
          <w:color w:val="000000"/>
          <w:w w:val="102"/>
        </w:rPr>
        <w:br/>
      </w:r>
      <w:r>
        <w:rPr>
          <w:color w:val="000000"/>
        </w:rPr>
        <w:t xml:space="preserve">wise administering the loan) is not an assignee under the TILA unless the servicer is the owner </w:t>
      </w:r>
      <w:r>
        <w:rPr>
          <w:color w:val="000000"/>
        </w:rPr>
        <w:br/>
      </w:r>
      <w:r>
        <w:rPr>
          <w:color w:val="000000"/>
          <w:spacing w:val="-1"/>
        </w:rPr>
        <w:t>of the loan obligation. However, Congres</w:t>
      </w:r>
      <w:r>
        <w:rPr>
          <w:color w:val="000000"/>
          <w:spacing w:val="-1"/>
        </w:rPr>
        <w:t xml:space="preserve">s did not intend that all servicers who owned loans would 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1"/>
        </w:rPr>
      </w:pPr>
    </w:p>
    <w:p w:rsidR="009E1284" w:rsidRDefault="005D7955">
      <w:pPr>
        <w:pStyle w:val="Normal1"/>
        <w:spacing w:before="115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polyline id="_x0000_s1081" style="position:absolute;left:0;text-align:left;z-index:-251649024;mso-position-horizontal-relative:page;mso-position-vertical-relative:page" points="67.5pt,285.2pt,544.45pt,285.2pt,544.45pt,267.25pt,67.5pt,267.25pt" coordsize="9539,359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82" style="position:absolute;left:0;text-align:left;z-index:-251646976;mso-position-horizontal-relative:page;mso-position-vertical-relative:page" from="67.5pt,267.25pt" to="67.5pt,285.2pt" o:allowincell="f" strokeweight=".89pt">
            <w10:wrap anchorx="page" anchory="page"/>
          </v:line>
        </w:pic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2" w:name="Pg3"/>
      <w:bookmarkEnd w:id="2"/>
      <w:r>
        <w:rPr>
          <w:color w:val="000000"/>
          <w:w w:val="103"/>
          <w:sz w:val="20"/>
        </w:rPr>
        <w:lastRenderedPageBreak/>
        <w:t xml:space="preserve">Page 3 of 7 </w:t>
      </w:r>
    </w:p>
    <w:p w:rsidR="009E1284" w:rsidRDefault="005D7955">
      <w:pPr>
        <w:pStyle w:val="Normal1"/>
        <w:spacing w:line="180" w:lineRule="exact"/>
        <w:ind w:left="3052"/>
        <w:rPr>
          <w:color w:val="000000"/>
          <w:sz w:val="20"/>
        </w:rPr>
      </w:pPr>
      <w:r>
        <w:rPr>
          <w:color w:val="000000"/>
          <w:sz w:val="20"/>
        </w:rPr>
        <w:t xml:space="preserve">686 F.3d 1055, *1055; 2012 U.S. App. LEXIS 14264, **1 </w:t>
      </w:r>
    </w:p>
    <w:p w:rsidR="009E1284" w:rsidRDefault="005D7955">
      <w:pPr>
        <w:pStyle w:val="Normal1"/>
        <w:spacing w:before="273" w:line="276" w:lineRule="exact"/>
        <w:ind w:left="610"/>
        <w:rPr>
          <w:color w:val="000000"/>
        </w:rPr>
      </w:pPr>
      <w:r>
        <w:rPr>
          <w:color w:val="000000"/>
        </w:rPr>
        <w:t xml:space="preserve">be liable as assignees. Paragraph (f)(2) carves out an exception to the general rule of paragraph </w:t>
      </w:r>
    </w:p>
    <w:p w:rsidR="009E1284" w:rsidRDefault="005D7955">
      <w:pPr>
        <w:pStyle w:val="Normal1"/>
        <w:spacing w:line="260" w:lineRule="exact"/>
        <w:ind w:left="610" w:right="398"/>
        <w:rPr>
          <w:color w:val="000000"/>
        </w:rPr>
      </w:pPr>
      <w:r>
        <w:rPr>
          <w:color w:val="000000"/>
          <w:spacing w:val="-2"/>
        </w:rPr>
        <w:t>(f)(1), so that servicers who are merely nominal assignees (that is, when a servicer is assigned own</w:t>
      </w:r>
      <w:r>
        <w:rPr>
          <w:color w:val="000000"/>
        </w:rPr>
        <w:t>ership of the loan solely for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administrative convenience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 would not be liable on the same ba</w:t>
      </w:r>
      <w:r>
        <w:rPr>
          <w:color w:val="000000"/>
          <w:w w:val="104"/>
        </w:rPr>
        <w:t>sis as actual owners of the loan. The paragraph ends with a se</w:t>
      </w:r>
      <w:r>
        <w:rPr>
          <w:color w:val="000000"/>
          <w:w w:val="104"/>
        </w:rPr>
        <w:t>ntence which places on</w:t>
      </w:r>
      <w:r>
        <w:rPr>
          <w:rFonts w:ascii="Symbol" w:hAnsi="Symbol"/>
          <w:color w:val="000000"/>
          <w:w w:val="104"/>
        </w:rPr>
        <w:t></w:t>
      </w:r>
      <w:r>
        <w:rPr>
          <w:rFonts w:ascii="Symbol" w:hAnsi="Symbol"/>
          <w:color w:val="000000"/>
          <w:w w:val="104"/>
        </w:rPr>
        <w:t></w:t>
      </w:r>
      <w:r>
        <w:rPr>
          <w:color w:val="000000"/>
          <w:w w:val="104"/>
        </w:rPr>
        <w:t>the ser</w:t>
      </w:r>
      <w:r>
        <w:rPr>
          <w:color w:val="000000"/>
        </w:rPr>
        <w:t>vicer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the duty to respond to correspondence from the consumer. </w:t>
      </w:r>
    </w:p>
    <w:p w:rsidR="009E1284" w:rsidRDefault="009E1284">
      <w:pPr>
        <w:pStyle w:val="Normal1"/>
        <w:spacing w:line="230" w:lineRule="exact"/>
        <w:ind w:left="810"/>
        <w:rPr>
          <w:color w:val="000000"/>
        </w:rPr>
      </w:pPr>
    </w:p>
    <w:p w:rsidR="009E1284" w:rsidRDefault="005D7955">
      <w:pPr>
        <w:pStyle w:val="Normal1"/>
        <w:spacing w:before="33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Civil Procedure &gt; Parties &gt; Pro Se Litigants &gt; Pleading Standards </w:t>
      </w:r>
    </w:p>
    <w:p w:rsidR="009E1284" w:rsidRDefault="005D7955">
      <w:pPr>
        <w:pStyle w:val="Normal1"/>
        <w:spacing w:before="172" w:line="276" w:lineRule="exact"/>
        <w:ind w:left="610"/>
        <w:rPr>
          <w:color w:val="000000"/>
        </w:rPr>
      </w:pPr>
      <w:r>
        <w:rPr>
          <w:rFonts w:ascii="Times New Roman Bold Italic" w:hAnsi="Times New Roman Bold Italic"/>
          <w:color w:val="000000"/>
        </w:rPr>
        <w:t>HN6</w:t>
      </w:r>
      <w:r>
        <w:rPr>
          <w:color w:val="000000"/>
        </w:rPr>
        <w:t xml:space="preserve"> Although pro se plaintiffs need not plead specific legal theories in the complaint, the </w:t>
      </w:r>
    </w:p>
    <w:p w:rsidR="009E1284" w:rsidRDefault="005D7955">
      <w:pPr>
        <w:pStyle w:val="Normal1"/>
        <w:spacing w:line="260" w:lineRule="exact"/>
        <w:ind w:left="610" w:right="403"/>
        <w:jc w:val="both"/>
        <w:rPr>
          <w:color w:val="000000"/>
        </w:rPr>
      </w:pPr>
      <w:r>
        <w:rPr>
          <w:color w:val="000000"/>
        </w:rPr>
        <w:t xml:space="preserve">United States Court of Appeals for the Ninth Circuit requires that the other side receive notice as to what is at issue in the case against it. </w:t>
      </w:r>
    </w:p>
    <w:p w:rsidR="009E1284" w:rsidRDefault="009E1284">
      <w:pPr>
        <w:pStyle w:val="Normal1"/>
        <w:spacing w:line="230" w:lineRule="exact"/>
        <w:ind w:left="810"/>
        <w:rPr>
          <w:color w:val="000000"/>
        </w:rPr>
      </w:pPr>
    </w:p>
    <w:p w:rsidR="009E1284" w:rsidRDefault="005D7955">
      <w:pPr>
        <w:pStyle w:val="Normal1"/>
        <w:spacing w:before="33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Contracts Law &gt; Contract Interpretation &gt; Good Faith &amp; Fair Dealing </w:t>
      </w:r>
    </w:p>
    <w:p w:rsidR="009E1284" w:rsidRDefault="005D7955">
      <w:pPr>
        <w:pStyle w:val="Normal1"/>
        <w:spacing w:before="172" w:line="276" w:lineRule="exact"/>
        <w:ind w:left="610"/>
        <w:rPr>
          <w:color w:val="000000"/>
          <w:w w:val="102"/>
        </w:rPr>
      </w:pPr>
      <w:r>
        <w:rPr>
          <w:rFonts w:ascii="Times New Roman Bold Italic" w:hAnsi="Times New Roman Bold Italic"/>
          <w:color w:val="000000"/>
          <w:w w:val="102"/>
        </w:rPr>
        <w:t>HN7</w:t>
      </w:r>
      <w:r>
        <w:rPr>
          <w:color w:val="000000"/>
          <w:w w:val="102"/>
        </w:rPr>
        <w:t xml:space="preserve"> To state a claim for breach of the covenant of good faith and fair dealing under Nevada </w:t>
      </w:r>
    </w:p>
    <w:p w:rsidR="009E1284" w:rsidRDefault="005D7955">
      <w:pPr>
        <w:pStyle w:val="Normal1"/>
        <w:spacing w:line="260" w:lineRule="exact"/>
        <w:ind w:left="610" w:right="365"/>
        <w:jc w:val="both"/>
        <w:rPr>
          <w:rFonts w:ascii="Symbol" w:hAnsi="Symbol"/>
          <w:color w:val="000000"/>
          <w:spacing w:val="-3"/>
        </w:rPr>
      </w:pPr>
      <w:r>
        <w:rPr>
          <w:color w:val="000000"/>
        </w:rPr>
        <w:t>law, a plaintiff must show that the defendant acted in an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arbitrary or unfair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way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to the disad</w:t>
      </w:r>
      <w:r>
        <w:rPr>
          <w:color w:val="000000"/>
          <w:spacing w:val="-2"/>
        </w:rPr>
        <w:t>vantage of the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 plaintiff. Failing to respond to correspondence in this context hardly qualifies as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>ar</w:t>
      </w:r>
      <w:r>
        <w:rPr>
          <w:color w:val="000000"/>
          <w:spacing w:val="-3"/>
        </w:rPr>
        <w:t>bitrary or unfair.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rFonts w:ascii="Symbol" w:hAnsi="Symbol"/>
          <w:color w:val="000000"/>
          <w:spacing w:val="-3"/>
        </w:rPr>
        <w:t></w:t>
      </w:r>
    </w:p>
    <w:p w:rsidR="009E1284" w:rsidRDefault="009E1284">
      <w:pPr>
        <w:pStyle w:val="Normal1"/>
        <w:spacing w:line="230" w:lineRule="exact"/>
        <w:ind w:left="810"/>
        <w:rPr>
          <w:rFonts w:ascii="Symbol" w:hAnsi="Symbol"/>
          <w:color w:val="000000"/>
          <w:spacing w:val="-3"/>
        </w:rPr>
      </w:pPr>
    </w:p>
    <w:p w:rsidR="009E1284" w:rsidRDefault="005D7955">
      <w:pPr>
        <w:pStyle w:val="Normal1"/>
        <w:spacing w:before="13" w:line="230" w:lineRule="exact"/>
        <w:ind w:left="810"/>
        <w:rPr>
          <w:color w:val="000000"/>
          <w:sz w:val="20"/>
        </w:rPr>
      </w:pPr>
      <w:r>
        <w:rPr>
          <w:color w:val="000000"/>
          <w:sz w:val="20"/>
        </w:rPr>
        <w:t xml:space="preserve">Real Property Law &gt; Financing &gt; Foreclosures &gt; Judicial Foreclosures </w:t>
      </w:r>
    </w:p>
    <w:p w:rsidR="009E1284" w:rsidRDefault="005D7955">
      <w:pPr>
        <w:pStyle w:val="Normal1"/>
        <w:spacing w:before="192" w:line="276" w:lineRule="exact"/>
        <w:ind w:left="610"/>
        <w:rPr>
          <w:color w:val="000000"/>
        </w:rPr>
      </w:pPr>
      <w:r>
        <w:rPr>
          <w:rFonts w:ascii="Times New Roman Bold Italic" w:hAnsi="Times New Roman Bold Italic"/>
          <w:color w:val="000000"/>
        </w:rPr>
        <w:t>HN8</w:t>
      </w:r>
      <w:r>
        <w:rPr>
          <w:color w:val="000000"/>
        </w:rPr>
        <w:t xml:space="preserve"> Nev. Rev. Stat. § 104 does not pertain to non-judicial foreclosures. </w:t>
      </w:r>
    </w:p>
    <w:p w:rsidR="009E1284" w:rsidRDefault="005D7955">
      <w:pPr>
        <w:pStyle w:val="Normal1"/>
        <w:spacing w:before="258" w:line="260" w:lineRule="exact"/>
        <w:ind w:left="610" w:right="641"/>
        <w:jc w:val="both"/>
        <w:rPr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1"/>
        </w:rPr>
        <w:t>Counsel:</w:t>
      </w:r>
      <w:r>
        <w:rPr>
          <w:color w:val="000000"/>
          <w:spacing w:val="-1"/>
        </w:rPr>
        <w:t xml:space="preserve"> Michael Rubin, Jennifer Sung, ALTSHULER BERZON LLP, San Francisco, Califor</w:t>
      </w:r>
      <w:r>
        <w:rPr>
          <w:color w:val="000000"/>
          <w:spacing w:val="-2"/>
        </w:rPr>
        <w:t xml:space="preserve">nia, for the plaintiff-appellant. </w:t>
      </w:r>
    </w:p>
    <w:p w:rsidR="009E1284" w:rsidRDefault="005D7955">
      <w:pPr>
        <w:pStyle w:val="Normal1"/>
        <w:spacing w:before="227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 xml:space="preserve">Peter Dunkley, WOLFE &amp; WYMAN LLP, Las Vegas, Nevada, for defendants-appellees. </w:t>
      </w:r>
    </w:p>
    <w:p w:rsidR="009E1284" w:rsidRDefault="005D7955">
      <w:pPr>
        <w:pStyle w:val="Normal1"/>
        <w:spacing w:before="258" w:line="260" w:lineRule="exact"/>
        <w:ind w:left="610" w:right="753"/>
        <w:jc w:val="both"/>
        <w:rPr>
          <w:color w:val="000000"/>
          <w:spacing w:val="-1"/>
        </w:rPr>
      </w:pPr>
      <w:r>
        <w:rPr>
          <w:rFonts w:ascii="Times New Roman Bold" w:hAnsi="Times New Roman Bold"/>
          <w:color w:val="000000"/>
        </w:rPr>
        <w:t>Judges:</w:t>
      </w:r>
      <w:r>
        <w:rPr>
          <w:color w:val="000000"/>
        </w:rPr>
        <w:t xml:space="preserve"> Before: Sidney R. Thomas, M. Margaret </w:t>
      </w:r>
      <w:proofErr w:type="spellStart"/>
      <w:r>
        <w:rPr>
          <w:color w:val="000000"/>
        </w:rPr>
        <w:t>McKeown</w:t>
      </w:r>
      <w:proofErr w:type="spellEnd"/>
      <w:r>
        <w:rPr>
          <w:color w:val="000000"/>
        </w:rPr>
        <w:t xml:space="preserve">, and William A. Fletcher, Circuit </w:t>
      </w:r>
      <w:r>
        <w:rPr>
          <w:color w:val="000000"/>
          <w:spacing w:val="-1"/>
        </w:rPr>
        <w:t xml:space="preserve">Judges. Opinion by Judge </w:t>
      </w:r>
      <w:proofErr w:type="spellStart"/>
      <w:r>
        <w:rPr>
          <w:color w:val="000000"/>
          <w:spacing w:val="-1"/>
        </w:rPr>
        <w:t>McKeown</w:t>
      </w:r>
      <w:proofErr w:type="spellEnd"/>
      <w:r>
        <w:rPr>
          <w:color w:val="000000"/>
          <w:spacing w:val="-1"/>
        </w:rPr>
        <w:t xml:space="preserve">. </w:t>
      </w:r>
    </w:p>
    <w:p w:rsidR="009E1284" w:rsidRDefault="005D7955">
      <w:pPr>
        <w:pStyle w:val="Normal1"/>
        <w:spacing w:before="247" w:line="276" w:lineRule="exact"/>
        <w:ind w:left="610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Opinion by:</w:t>
      </w:r>
      <w:r>
        <w:rPr>
          <w:color w:val="000000"/>
          <w:spacing w:val="-1"/>
        </w:rPr>
        <w:t xml:space="preserve"> </w:t>
      </w:r>
      <w:proofErr w:type="spellStart"/>
      <w:r>
        <w:rPr>
          <w:color w:val="000000"/>
          <w:spacing w:val="-1"/>
        </w:rPr>
        <w:t>McKeown</w:t>
      </w:r>
      <w:proofErr w:type="spellEnd"/>
      <w:r>
        <w:rPr>
          <w:color w:val="000000"/>
          <w:spacing w:val="-1"/>
        </w:rPr>
        <w:t xml:space="preserve"> </w:t>
      </w:r>
    </w:p>
    <w:p w:rsidR="009E1284" w:rsidRDefault="009E1284">
      <w:pPr>
        <w:pStyle w:val="Normal1"/>
        <w:spacing w:line="276" w:lineRule="exact"/>
        <w:ind w:left="750"/>
        <w:rPr>
          <w:color w:val="000000"/>
          <w:spacing w:val="-1"/>
        </w:rPr>
      </w:pPr>
    </w:p>
    <w:p w:rsidR="009E1284" w:rsidRDefault="005D7955">
      <w:pPr>
        <w:pStyle w:val="Normal1"/>
        <w:spacing w:before="228" w:line="276" w:lineRule="exact"/>
        <w:ind w:left="750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 xml:space="preserve">Opinion </w:t>
      </w:r>
    </w:p>
    <w:p w:rsidR="009E1284" w:rsidRDefault="005D7955">
      <w:pPr>
        <w:pStyle w:val="Normal1"/>
        <w:spacing w:before="264" w:line="276" w:lineRule="exact"/>
        <w:ind w:left="690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[*1056]</w:t>
      </w:r>
      <w:r>
        <w:rPr>
          <w:color w:val="000000"/>
          <w:spacing w:val="-1"/>
        </w:rPr>
        <w:t xml:space="preserve">  </w:t>
      </w:r>
      <w:proofErr w:type="spellStart"/>
      <w:r>
        <w:rPr>
          <w:color w:val="000000"/>
          <w:spacing w:val="-1"/>
        </w:rPr>
        <w:t>McKEOWN</w:t>
      </w:r>
      <w:proofErr w:type="spellEnd"/>
      <w:r>
        <w:rPr>
          <w:color w:val="000000"/>
          <w:spacing w:val="-1"/>
        </w:rPr>
        <w:t xml:space="preserve">, Circuit Judge: </w:t>
      </w:r>
    </w:p>
    <w:p w:rsidR="009E1284" w:rsidRDefault="005D7955">
      <w:pPr>
        <w:pStyle w:val="Normal1"/>
        <w:spacing w:before="198" w:line="260" w:lineRule="exact"/>
        <w:ind w:left="610" w:right="398"/>
        <w:rPr>
          <w:color w:val="000000"/>
          <w:spacing w:val="-1"/>
        </w:rPr>
      </w:pPr>
      <w:r>
        <w:rPr>
          <w:color w:val="000000"/>
        </w:rPr>
        <w:t>Failing to read and respond to letters may be impolite; however,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a breach </w:t>
      </w:r>
      <w:r>
        <w:rPr>
          <w:color w:val="000000"/>
        </w:rPr>
        <w:t>of</w:t>
      </w:r>
      <w:r>
        <w:rPr>
          <w:rFonts w:ascii="Times New Roman Bold" w:hAnsi="Times New Roman Bold"/>
          <w:color w:val="000000"/>
        </w:rPr>
        <w:t xml:space="preserve"> [*1057]</w:t>
      </w:r>
      <w:r>
        <w:rPr>
          <w:color w:val="000000"/>
        </w:rPr>
        <w:t xml:space="preserve">  good man-</w:t>
      </w:r>
      <w:r>
        <w:rPr>
          <w:color w:val="000000"/>
        </w:rPr>
        <w:br/>
      </w:r>
      <w:proofErr w:type="spellStart"/>
      <w:r>
        <w:rPr>
          <w:color w:val="000000"/>
        </w:rPr>
        <w:t>ners</w:t>
      </w:r>
      <w:proofErr w:type="spellEnd"/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is not always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an invasion of any legal right.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Spaulding v. </w:t>
      </w:r>
      <w:proofErr w:type="spellStart"/>
      <w:r>
        <w:rPr>
          <w:rFonts w:ascii="Times New Roman Italic" w:hAnsi="Times New Roman Italic"/>
          <w:color w:val="0000FF"/>
          <w:u w:val="single"/>
        </w:rPr>
        <w:t>Evenson</w:t>
      </w:r>
      <w:proofErr w:type="spellEnd"/>
      <w:r>
        <w:rPr>
          <w:color w:val="0000FF"/>
          <w:u w:val="single"/>
        </w:rPr>
        <w:t xml:space="preserve"> , 149 F. 913, 920 </w:t>
      </w:r>
      <w:r>
        <w:rPr>
          <w:color w:val="0000FF"/>
          <w:u w:val="single"/>
        </w:rPr>
        <w:br/>
        <w:t xml:space="preserve">(C.C.E.D. </w:t>
      </w:r>
      <w:proofErr w:type="spellStart"/>
      <w:r>
        <w:rPr>
          <w:color w:val="0000FF"/>
          <w:u w:val="single"/>
        </w:rPr>
        <w:t>Wa</w:t>
      </w:r>
      <w:proofErr w:type="spellEnd"/>
      <w:r>
        <w:rPr>
          <w:color w:val="0000FF"/>
          <w:u w:val="single"/>
        </w:rPr>
        <w:t>. 1906)</w:t>
      </w:r>
      <w:r>
        <w:rPr>
          <w:color w:val="000000"/>
        </w:rPr>
        <w:t>. Richard Gale faults his lender, First Franklin Loan Services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Franklin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), </w:t>
      </w:r>
      <w:r>
        <w:rPr>
          <w:color w:val="000000"/>
        </w:rPr>
        <w:br/>
      </w:r>
      <w:r>
        <w:rPr>
          <w:color w:val="000000"/>
        </w:rPr>
        <w:t xml:space="preserve">for failing to respond to his correspondence regarding ownership of his loan, and alleges that this </w:t>
      </w:r>
      <w:r>
        <w:rPr>
          <w:color w:val="000000"/>
        </w:rPr>
        <w:br/>
        <w:t>failure amounted to a violation of the Truth in Lending Act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TILA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), and Nevada’s covenant </w:t>
      </w:r>
      <w:r>
        <w:rPr>
          <w:color w:val="000000"/>
        </w:rPr>
        <w:br/>
        <w:t>of good faith and fair dealing. Because Franklin was not legal</w:t>
      </w:r>
      <w:r>
        <w:rPr>
          <w:color w:val="000000"/>
        </w:rPr>
        <w:t xml:space="preserve">ly required to respond in its </w:t>
      </w:r>
      <w:proofErr w:type="spellStart"/>
      <w:r>
        <w:rPr>
          <w:color w:val="000000"/>
        </w:rPr>
        <w:t>capac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  <w:spacing w:val="-2"/>
        </w:rPr>
        <w:t>ity</w:t>
      </w:r>
      <w:proofErr w:type="spellEnd"/>
      <w:r>
        <w:rPr>
          <w:color w:val="000000"/>
          <w:spacing w:val="-2"/>
        </w:rPr>
        <w:t xml:space="preserve"> as loan servicer, we affirm the district court’s dismissal of these claims. However, Gale also al-</w:t>
      </w:r>
      <w:r>
        <w:rPr>
          <w:color w:val="000000"/>
          <w:spacing w:val="-2"/>
        </w:rPr>
        <w:br/>
      </w:r>
      <w:proofErr w:type="spellStart"/>
      <w:r>
        <w:rPr>
          <w:color w:val="000000"/>
          <w:spacing w:val="-3"/>
        </w:rPr>
        <w:t>leges</w:t>
      </w:r>
      <w:proofErr w:type="spellEnd"/>
      <w:r>
        <w:rPr>
          <w:color w:val="000000"/>
          <w:spacing w:val="-3"/>
        </w:rPr>
        <w:t xml:space="preserve"> </w:t>
      </w:r>
      <w:r>
        <w:rPr>
          <w:rFonts w:ascii="Times New Roman Bold" w:hAnsi="Times New Roman Bold"/>
          <w:color w:val="000000"/>
        </w:rPr>
        <w:t>[**2]</w:t>
      </w:r>
      <w:r>
        <w:rPr>
          <w:color w:val="000000"/>
        </w:rPr>
        <w:t xml:space="preserve"> that after failing to respond to his letter, Franklin and the other defendants engaged in </w:t>
      </w:r>
      <w:r>
        <w:rPr>
          <w:color w:val="000000"/>
        </w:rPr>
        <w:br/>
      </w:r>
      <w:r>
        <w:rPr>
          <w:color w:val="000000"/>
        </w:rPr>
        <w:t xml:space="preserve">illegal conduct by wrong-fully foreclosing on his property. We remand these remaining state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law claims to the district court. </w:t>
      </w:r>
    </w:p>
    <w:p w:rsidR="009E1284" w:rsidRDefault="009E1284">
      <w:pPr>
        <w:pStyle w:val="Normal1"/>
        <w:spacing w:line="195" w:lineRule="exact"/>
        <w:ind w:left="610"/>
        <w:rPr>
          <w:color w:val="000000"/>
          <w:spacing w:val="-1"/>
        </w:rPr>
      </w:pPr>
    </w:p>
    <w:p w:rsidR="009E1284" w:rsidRDefault="005D7955">
      <w:pPr>
        <w:pStyle w:val="Normal1"/>
        <w:spacing w:before="119" w:line="195" w:lineRule="exact"/>
        <w:ind w:left="610"/>
        <w:rPr>
          <w:color w:val="000000"/>
          <w:spacing w:val="-2"/>
          <w:sz w:val="16"/>
        </w:rPr>
      </w:pPr>
      <w:r>
        <w:rPr>
          <w:color w:val="000000"/>
          <w:spacing w:val="-2"/>
        </w:rPr>
        <w:t>B</w:t>
      </w:r>
      <w:r>
        <w:rPr>
          <w:color w:val="000000"/>
          <w:spacing w:val="-2"/>
          <w:sz w:val="16"/>
        </w:rPr>
        <w:t xml:space="preserve">ACKGROUND 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  <w:sz w:val="16"/>
        </w:rPr>
      </w:pP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  <w:sz w:val="16"/>
        </w:rPr>
      </w:pP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  <w:sz w:val="16"/>
        </w:rPr>
      </w:pPr>
    </w:p>
    <w:p w:rsidR="009E1284" w:rsidRDefault="005D7955">
      <w:pPr>
        <w:pStyle w:val="Normal1"/>
        <w:spacing w:before="87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3" style="position:absolute;left:0;text-align:left;z-index:-251644928;mso-position-horizontal-relative:page;mso-position-vertical-relative:page" from="67.5pt,510.7pt" to="544.45pt,510.7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polyline id="_x0000_s1084" style="position:absolute;left:0;text-align:left;z-index:-251642880;mso-position-horizontal-relative:page;mso-position-vertical-relative:page" points="544.45pt,510.7pt,544.45pt,492.75pt,67.5pt,492.75pt" coordsize="9539,359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85" style="position:absolute;left:0;text-align:left;z-index:-251640832;mso-position-horizontal-relative:page;mso-position-vertical-relative:page" from="67.5pt,492.75pt" to="67.5pt,510.7pt" o:allowincell="f" strokeweight=".89pt">
            <w10:wrap anchorx="page" anchory="page"/>
          </v:line>
        </w:pic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3" w:name="Pg4"/>
      <w:bookmarkEnd w:id="3"/>
      <w:r>
        <w:rPr>
          <w:color w:val="000000"/>
          <w:w w:val="103"/>
          <w:sz w:val="20"/>
        </w:rPr>
        <w:lastRenderedPageBreak/>
        <w:t xml:space="preserve">Page 4 of 7 </w:t>
      </w:r>
    </w:p>
    <w:p w:rsidR="009E1284" w:rsidRDefault="005D7955">
      <w:pPr>
        <w:pStyle w:val="Normal1"/>
        <w:spacing w:line="180" w:lineRule="exact"/>
        <w:ind w:left="3052"/>
        <w:rPr>
          <w:color w:val="000000"/>
          <w:sz w:val="20"/>
        </w:rPr>
      </w:pPr>
      <w:r>
        <w:rPr>
          <w:color w:val="000000"/>
          <w:sz w:val="20"/>
        </w:rPr>
        <w:t xml:space="preserve">686 F.3d 1055, *1057; 2012 U.S. App. LEXIS 14264, **2 </w:t>
      </w:r>
    </w:p>
    <w:p w:rsidR="009E1284" w:rsidRDefault="009E1284">
      <w:pPr>
        <w:pStyle w:val="Normal1"/>
        <w:spacing w:line="260" w:lineRule="exact"/>
        <w:ind w:left="610"/>
        <w:jc w:val="both"/>
        <w:rPr>
          <w:color w:val="000000"/>
          <w:sz w:val="20"/>
        </w:rPr>
      </w:pPr>
    </w:p>
    <w:p w:rsidR="009E1284" w:rsidRDefault="005D7955">
      <w:pPr>
        <w:pStyle w:val="Normal1"/>
        <w:tabs>
          <w:tab w:val="left" w:leader="dot" w:pos="9528"/>
        </w:tabs>
        <w:spacing w:before="26" w:line="260" w:lineRule="exact"/>
        <w:ind w:left="610" w:right="403"/>
        <w:jc w:val="both"/>
        <w:rPr>
          <w:rFonts w:ascii="Symbol" w:hAnsi="Symbol"/>
          <w:color w:val="000000"/>
          <w:spacing w:val="-3"/>
        </w:rPr>
      </w:pPr>
      <w:r>
        <w:rPr>
          <w:color w:val="000000"/>
        </w:rPr>
        <w:t xml:space="preserve">In November </w:t>
      </w:r>
      <w:r>
        <w:rPr>
          <w:color w:val="000000"/>
        </w:rPr>
        <w:t xml:space="preserve">2006, Gale refinanced his home mortgage loan with Franklin, and signed a </w:t>
      </w:r>
      <w:proofErr w:type="spellStart"/>
      <w:r>
        <w:rPr>
          <w:color w:val="000000"/>
        </w:rPr>
        <w:t>promis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sory</w:t>
      </w:r>
      <w:proofErr w:type="spellEnd"/>
      <w:r>
        <w:rPr>
          <w:color w:val="000000"/>
        </w:rPr>
        <w:t xml:space="preserve"> note. Franklin was both the creditor and servicer for the loan. A deed of trust on Gale’s </w:t>
      </w:r>
      <w:proofErr w:type="spellStart"/>
      <w:r>
        <w:rPr>
          <w:color w:val="000000"/>
        </w:rPr>
        <w:t>resi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dence</w:t>
      </w:r>
      <w:proofErr w:type="spellEnd"/>
      <w:r>
        <w:rPr>
          <w:color w:val="000000"/>
        </w:rPr>
        <w:t xml:space="preserve"> in Las Vegas secured the loan. The deed designated Mortgage Electron</w:t>
      </w:r>
      <w:r>
        <w:rPr>
          <w:color w:val="000000"/>
        </w:rPr>
        <w:t>ic Registration Sys-</w:t>
      </w:r>
      <w:r>
        <w:rPr>
          <w:color w:val="000000"/>
        </w:rPr>
        <w:br/>
      </w:r>
      <w:proofErr w:type="spellStart"/>
      <w:r>
        <w:rPr>
          <w:color w:val="000000"/>
        </w:rPr>
        <w:t>tems</w:t>
      </w:r>
      <w:proofErr w:type="spellEnd"/>
      <w:r>
        <w:rPr>
          <w:color w:val="000000"/>
        </w:rPr>
        <w:t>, Inc.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MERS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 as the trust beneficiary,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acting solely as a nominee for [Franklin]</w:t>
      </w:r>
      <w:r>
        <w:rPr>
          <w:color w:val="000000"/>
        </w:rPr>
        <w:tab/>
        <w:t xml:space="preserve"> </w:t>
      </w:r>
      <w:r>
        <w:rPr>
          <w:color w:val="000000"/>
          <w:spacing w:val="-3"/>
        </w:rPr>
        <w:t>,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rFonts w:ascii="Symbol" w:hAnsi="Symbol"/>
          <w:color w:val="000000"/>
          <w:spacing w:val="-3"/>
        </w:rPr>
        <w:t></w:t>
      </w:r>
    </w:p>
    <w:p w:rsidR="009E1284" w:rsidRDefault="005D7955">
      <w:pPr>
        <w:pStyle w:val="Normal1"/>
        <w:spacing w:before="3" w:line="257" w:lineRule="exact"/>
        <w:ind w:left="610"/>
        <w:rPr>
          <w:color w:val="000000"/>
        </w:rPr>
      </w:pPr>
      <w:r>
        <w:rPr>
          <w:color w:val="000000"/>
        </w:rPr>
        <w:t xml:space="preserve">and Service Link as the trustee. </w:t>
      </w:r>
    </w:p>
    <w:p w:rsidR="009E1284" w:rsidRDefault="005D7955">
      <w:pPr>
        <w:pStyle w:val="Normal1"/>
        <w:spacing w:before="207" w:line="253" w:lineRule="exact"/>
        <w:ind w:left="610" w:right="431"/>
        <w:rPr>
          <w:color w:val="000000"/>
        </w:rPr>
      </w:pPr>
      <w:r>
        <w:rPr>
          <w:color w:val="000000"/>
        </w:rPr>
        <w:t xml:space="preserve">By June 2008, Gale had lost his job, defaulted on the loan, and was facing financial difficulties. </w:t>
      </w:r>
      <w:r>
        <w:rPr>
          <w:color w:val="000000"/>
        </w:rPr>
        <w:br/>
      </w:r>
      <w:r>
        <w:rPr>
          <w:color w:val="000000"/>
          <w:w w:val="102"/>
        </w:rPr>
        <w:t xml:space="preserve">In a </w:t>
      </w:r>
      <w:r>
        <w:rPr>
          <w:color w:val="000000"/>
          <w:w w:val="102"/>
        </w:rPr>
        <w:t xml:space="preserve">bid to renegotiate his loan, he sent a letter to Franklin in June, explaining his </w:t>
      </w:r>
      <w:proofErr w:type="spellStart"/>
      <w:r>
        <w:rPr>
          <w:color w:val="000000"/>
          <w:w w:val="102"/>
        </w:rPr>
        <w:t>predica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</w:rPr>
        <w:t>ment</w:t>
      </w:r>
      <w:proofErr w:type="spellEnd"/>
      <w:r>
        <w:rPr>
          <w:color w:val="000000"/>
        </w:rPr>
        <w:t xml:space="preserve">, his resolve to pay the amount due, and suggesting possible solutions. However, to ensure </w:t>
      </w:r>
      <w:r>
        <w:rPr>
          <w:color w:val="000000"/>
        </w:rPr>
        <w:br/>
        <w:t>that he was courting the right audience, he also asked that Franklin,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in accordance with [TILA,] </w:t>
      </w:r>
    </w:p>
    <w:p w:rsidR="009E1284" w:rsidRDefault="005D7955">
      <w:pPr>
        <w:pStyle w:val="Normal1"/>
        <w:spacing w:before="5" w:line="256" w:lineRule="exact"/>
        <w:ind w:left="610"/>
        <w:rPr>
          <w:color w:val="000000"/>
          <w:w w:val="102"/>
        </w:rPr>
      </w:pPr>
      <w:r>
        <w:rPr>
          <w:rFonts w:ascii="Times New Roman Italic" w:hAnsi="Times New Roman Italic"/>
          <w:color w:val="0000FF"/>
          <w:w w:val="102"/>
          <w:u w:val="single"/>
        </w:rPr>
        <w:t xml:space="preserve"> 15 U.S.C. § 1641(f)(2)</w:t>
      </w:r>
      <w:r>
        <w:rPr>
          <w:color w:val="000000"/>
          <w:w w:val="102"/>
        </w:rPr>
        <w:t xml:space="preserve">... provide the name and address of the true owner of the obligation or </w:t>
      </w:r>
    </w:p>
    <w:p w:rsidR="009E1284" w:rsidRDefault="005D7955">
      <w:pPr>
        <w:pStyle w:val="Normal1"/>
        <w:spacing w:before="1" w:line="260" w:lineRule="exact"/>
        <w:ind w:left="610" w:right="362"/>
        <w:rPr>
          <w:color w:val="000000"/>
        </w:rPr>
      </w:pPr>
      <w:r>
        <w:rPr>
          <w:color w:val="000000"/>
          <w:spacing w:val="-2"/>
        </w:rPr>
        <w:t>holder [of his promissory note]; the original note and indicate [First Franklin’s] relationship</w:t>
      </w:r>
      <w:r>
        <w:rPr>
          <w:rFonts w:ascii="Times New Roman Bold" w:hAnsi="Times New Roman Bold"/>
          <w:color w:val="000000"/>
          <w:spacing w:val="-2"/>
        </w:rPr>
        <w:t xml:space="preserve"> [**3]</w:t>
      </w:r>
      <w:r>
        <w:rPr>
          <w:color w:val="000000"/>
          <w:spacing w:val="-2"/>
        </w:rPr>
        <w:t xml:space="preserve"> to </w:t>
      </w:r>
      <w:r>
        <w:rPr>
          <w:color w:val="000000"/>
        </w:rPr>
        <w:t>this entity,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to protect himself from collection efforts by a third party. Gale received no re-</w:t>
      </w:r>
      <w:r>
        <w:rPr>
          <w:color w:val="000000"/>
        </w:rPr>
        <w:br/>
      </w:r>
      <w:proofErr w:type="spellStart"/>
      <w:r>
        <w:rPr>
          <w:color w:val="000000"/>
        </w:rPr>
        <w:t>sponse</w:t>
      </w:r>
      <w:proofErr w:type="spellEnd"/>
      <w:r>
        <w:rPr>
          <w:color w:val="000000"/>
        </w:rPr>
        <w:t xml:space="preserve"> to his initial letter, and wrote again in August 2008. Franklin remained resolutely silent, no renegotiations took place, and Gale continued to fall behind on his loa</w:t>
      </w:r>
      <w:r>
        <w:rPr>
          <w:color w:val="000000"/>
        </w:rPr>
        <w:t xml:space="preserve">n payments. </w:t>
      </w:r>
    </w:p>
    <w:p w:rsidR="009E1284" w:rsidRDefault="005D7955">
      <w:pPr>
        <w:pStyle w:val="Normal1"/>
        <w:spacing w:before="187" w:line="276" w:lineRule="exact"/>
        <w:ind w:left="610"/>
        <w:rPr>
          <w:color w:val="000000"/>
        </w:rPr>
      </w:pPr>
      <w:r>
        <w:rPr>
          <w:color w:val="000000"/>
        </w:rPr>
        <w:t xml:space="preserve">As it turned out, Gale’s loan was the subject of much activity. In August 2008, beneficiary </w:t>
      </w:r>
    </w:p>
    <w:p w:rsidR="009E1284" w:rsidRDefault="005D7955">
      <w:pPr>
        <w:pStyle w:val="Normal1"/>
        <w:spacing w:before="1" w:line="256" w:lineRule="exact"/>
        <w:ind w:left="610"/>
        <w:rPr>
          <w:color w:val="000000"/>
        </w:rPr>
      </w:pPr>
      <w:r>
        <w:rPr>
          <w:color w:val="000000"/>
        </w:rPr>
        <w:t xml:space="preserve">MERS substituted defendant Cal-Western in place of Service Link as trustee of Gale’s deed of </w:t>
      </w:r>
    </w:p>
    <w:p w:rsidR="009E1284" w:rsidRDefault="005D7955">
      <w:pPr>
        <w:pStyle w:val="Normal1"/>
        <w:spacing w:before="1" w:line="260" w:lineRule="exact"/>
        <w:ind w:left="610" w:right="402"/>
        <w:rPr>
          <w:color w:val="000000"/>
          <w:spacing w:val="-1"/>
        </w:rPr>
      </w:pPr>
      <w:r>
        <w:rPr>
          <w:color w:val="000000"/>
        </w:rPr>
        <w:t>trust, and together with Cal-Western initiated non-judic</w:t>
      </w:r>
      <w:r>
        <w:rPr>
          <w:color w:val="000000"/>
        </w:rPr>
        <w:t>ial foreclosure proceedings on Gale’s residence. Later that month, MERS assigned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all beneficial interest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to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LaSalle Bank as trustee for the First Franklin Mortgage Loan Trust.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Finally, in November 2008, Cal-Western recorded a </w:t>
      </w:r>
      <w:r>
        <w:rPr>
          <w:color w:val="000000"/>
          <w:spacing w:val="-1"/>
        </w:rPr>
        <w:t>Notice of Trustee’s Sale o</w:t>
      </w:r>
      <w:r>
        <w:rPr>
          <w:color w:val="000000"/>
          <w:spacing w:val="-1"/>
        </w:rPr>
        <w:t xml:space="preserve">f Gale’s home. </w:t>
      </w:r>
    </w:p>
    <w:p w:rsidR="009E1284" w:rsidRDefault="005D7955">
      <w:pPr>
        <w:pStyle w:val="Normal1"/>
        <w:spacing w:before="180" w:line="260" w:lineRule="exact"/>
        <w:ind w:left="610" w:right="399"/>
        <w:rPr>
          <w:color w:val="000000"/>
        </w:rPr>
      </w:pPr>
      <w:r>
        <w:rPr>
          <w:color w:val="000000"/>
        </w:rPr>
        <w:t xml:space="preserve">Gale filed suit against all the actors involved—Franklin, MERS, Cal-Western and LaSalle Bank— </w:t>
      </w:r>
      <w:r>
        <w:rPr>
          <w:color w:val="000000"/>
        </w:rPr>
        <w:br/>
        <w:t xml:space="preserve">alleging violations of TILA, seeking injunctive relief against foreclosure, and claiming breach </w:t>
      </w:r>
      <w:r>
        <w:rPr>
          <w:color w:val="000000"/>
        </w:rPr>
        <w:br/>
        <w:t>of contract, failure to act in good faith, and w</w:t>
      </w:r>
      <w:r>
        <w:rPr>
          <w:color w:val="000000"/>
        </w:rPr>
        <w:t xml:space="preserve">rongful foreclosure under Nevada law. The district </w:t>
      </w:r>
      <w:r>
        <w:rPr>
          <w:color w:val="000000"/>
        </w:rPr>
        <w:br/>
      </w:r>
      <w:r>
        <w:rPr>
          <w:color w:val="000000"/>
          <w:spacing w:val="-1"/>
        </w:rPr>
        <w:t>court dismissed Gale’s Nevada law claims with prejudice, but permitted Gale to amend his Com-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plaint as to TILA. Gale’s First </w:t>
      </w:r>
      <w:r>
        <w:rPr>
          <w:rFonts w:ascii="Times New Roman Bold" w:hAnsi="Times New Roman Bold"/>
          <w:color w:val="000000"/>
        </w:rPr>
        <w:t>[**4]</w:t>
      </w:r>
      <w:r>
        <w:rPr>
          <w:color w:val="000000"/>
        </w:rPr>
        <w:t xml:space="preserve"> Amended Complaint set out his TILA claims more </w:t>
      </w:r>
      <w:proofErr w:type="spellStart"/>
      <w:r>
        <w:rPr>
          <w:color w:val="000000"/>
        </w:rPr>
        <w:t>specifi</w:t>
      </w:r>
      <w:proofErr w:type="spellEnd"/>
      <w:r>
        <w:rPr>
          <w:color w:val="000000"/>
        </w:rPr>
        <w:t>-</w:t>
      </w:r>
    </w:p>
    <w:p w:rsidR="009E1284" w:rsidRDefault="005D7955">
      <w:pPr>
        <w:pStyle w:val="Normal1"/>
        <w:spacing w:before="3" w:line="257" w:lineRule="exact"/>
        <w:ind w:left="610"/>
        <w:rPr>
          <w:color w:val="000000"/>
        </w:rPr>
      </w:pPr>
      <w:proofErr w:type="spellStart"/>
      <w:r>
        <w:rPr>
          <w:color w:val="000000"/>
        </w:rPr>
        <w:t>cally</w:t>
      </w:r>
      <w:proofErr w:type="spellEnd"/>
      <w:r>
        <w:rPr>
          <w:color w:val="000000"/>
        </w:rPr>
        <w:t>, and claim</w:t>
      </w:r>
      <w:r>
        <w:rPr>
          <w:color w:val="000000"/>
        </w:rPr>
        <w:t xml:space="preserve">ed a breach of the covenant of good faith and fair dealing. Gale also alleged </w:t>
      </w:r>
    </w:p>
    <w:p w:rsidR="009E1284" w:rsidRDefault="005D7955">
      <w:pPr>
        <w:pStyle w:val="Normal1"/>
        <w:spacing w:before="4" w:line="256" w:lineRule="exact"/>
        <w:ind w:left="610"/>
        <w:rPr>
          <w:color w:val="000000"/>
        </w:rPr>
      </w:pPr>
      <w:r>
        <w:rPr>
          <w:color w:val="000000"/>
        </w:rPr>
        <w:t>that Cal-Western violated its duty under the Real Estate Settlement Procedures Act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RESPA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), </w:t>
      </w:r>
    </w:p>
    <w:p w:rsidR="009E1284" w:rsidRDefault="005D7955">
      <w:pPr>
        <w:pStyle w:val="Normal1"/>
        <w:spacing w:before="1" w:line="260" w:lineRule="exact"/>
        <w:ind w:left="610" w:right="507"/>
        <w:jc w:val="both"/>
        <w:rPr>
          <w:color w:val="000000"/>
          <w:vertAlign w:val="superscript"/>
        </w:rPr>
      </w:pPr>
      <w:r>
        <w:rPr>
          <w:rFonts w:ascii="Times New Roman Italic" w:hAnsi="Times New Roman Italic"/>
          <w:color w:val="0000FF"/>
          <w:w w:val="106"/>
          <w:u w:val="single"/>
        </w:rPr>
        <w:t xml:space="preserve"> 12 U.S.C. § 2605</w:t>
      </w:r>
      <w:r>
        <w:rPr>
          <w:color w:val="000000"/>
          <w:w w:val="106"/>
        </w:rPr>
        <w:t xml:space="preserve">, to respond to his qualified written request for information. </w:t>
      </w:r>
      <w:r>
        <w:rPr>
          <w:color w:val="000000"/>
          <w:w w:val="106"/>
        </w:rPr>
        <w:t>The court dis</w:t>
      </w:r>
      <w:r>
        <w:rPr>
          <w:color w:val="000000"/>
        </w:rPr>
        <w:t>missed the amended complaint without leave to amend.</w:t>
      </w:r>
      <w:r>
        <w:rPr>
          <w:color w:val="000000"/>
          <w:vertAlign w:val="superscript"/>
        </w:rPr>
        <w:t xml:space="preserve">1 </w:t>
      </w:r>
    </w:p>
    <w:p w:rsidR="009E1284" w:rsidRDefault="009E1284">
      <w:pPr>
        <w:pStyle w:val="Normal1"/>
        <w:spacing w:line="241" w:lineRule="exact"/>
        <w:ind w:left="690"/>
        <w:rPr>
          <w:color w:val="000000"/>
          <w:vertAlign w:val="superscript"/>
        </w:rPr>
      </w:pPr>
    </w:p>
    <w:p w:rsidR="009E1284" w:rsidRDefault="005D7955">
      <w:pPr>
        <w:pStyle w:val="Normal1"/>
        <w:spacing w:before="35" w:line="241" w:lineRule="exact"/>
        <w:ind w:left="690"/>
        <w:rPr>
          <w:color w:val="000000"/>
          <w:spacing w:val="-2"/>
          <w:sz w:val="16"/>
        </w:rPr>
      </w:pPr>
      <w:r>
        <w:rPr>
          <w:rFonts w:ascii="Times New Roman Bold" w:hAnsi="Times New Roman Bold"/>
          <w:color w:val="000000"/>
          <w:spacing w:val="-2"/>
        </w:rPr>
        <w:t>[*1058]</w:t>
      </w:r>
      <w:r>
        <w:rPr>
          <w:color w:val="000000"/>
          <w:spacing w:val="-2"/>
        </w:rPr>
        <w:t xml:space="preserve">  A</w:t>
      </w:r>
      <w:r>
        <w:rPr>
          <w:color w:val="000000"/>
          <w:spacing w:val="-2"/>
          <w:sz w:val="16"/>
        </w:rPr>
        <w:t xml:space="preserve">NALYSIS </w:t>
      </w:r>
    </w:p>
    <w:p w:rsidR="009E1284" w:rsidRDefault="005D7955">
      <w:pPr>
        <w:pStyle w:val="Normal1"/>
        <w:spacing w:before="184" w:line="260" w:lineRule="exact"/>
        <w:ind w:left="610" w:right="398"/>
        <w:rPr>
          <w:color w:val="000000"/>
        </w:rPr>
      </w:pPr>
      <w:r>
        <w:rPr>
          <w:color w:val="000000"/>
        </w:rPr>
        <w:t>Gale’s suit focuses on two alleged wrongs: Franklin’s failure to reply to his letter, and the foreclo</w:t>
      </w:r>
      <w:r>
        <w:rPr>
          <w:color w:val="000000"/>
        </w:rPr>
        <w:t xml:space="preserve">sure proceedings on his home. His federal claims target only Franklin’s failure to respond; his state claims target both the failure to respond and the foreclosure. </w:t>
      </w:r>
    </w:p>
    <w:p w:rsidR="009E1284" w:rsidRDefault="005D7955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I. Federal Claims </w:t>
      </w:r>
    </w:p>
    <w:p w:rsidR="009E1284" w:rsidRDefault="005D7955">
      <w:pPr>
        <w:pStyle w:val="Normal1"/>
        <w:spacing w:before="178" w:line="260" w:lineRule="exact"/>
        <w:ind w:left="610" w:right="399"/>
        <w:rPr>
          <w:color w:val="000000"/>
          <w:w w:val="101"/>
        </w:rPr>
      </w:pPr>
      <w:r>
        <w:rPr>
          <w:color w:val="000000"/>
        </w:rPr>
        <w:t xml:space="preserve">In his initial letter to Franklin and again in his amended complaint, </w:t>
      </w:r>
      <w:r>
        <w:rPr>
          <w:color w:val="000000"/>
        </w:rPr>
        <w:t xml:space="preserve">Gale claims that Franklin </w:t>
      </w:r>
      <w:proofErr w:type="spellStart"/>
      <w:r>
        <w:rPr>
          <w:color w:val="000000"/>
        </w:rPr>
        <w:t>vio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lated</w:t>
      </w:r>
      <w:proofErr w:type="spellEnd"/>
      <w:r>
        <w:rPr>
          <w:color w:val="000000"/>
        </w:rPr>
        <w:t xml:space="preserve"> TILA,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15 U.S.C. § 1641(f)(2)</w:t>
      </w:r>
      <w:r>
        <w:rPr>
          <w:color w:val="000000"/>
        </w:rPr>
        <w:t>, which provides in relevant part: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Upon written request by </w:t>
      </w:r>
      <w:r>
        <w:rPr>
          <w:color w:val="000000"/>
        </w:rPr>
        <w:br/>
        <w:t xml:space="preserve">the obligor, the servicer shall provide the obligor, to the best knowledge of the servicer, with the </w:t>
      </w:r>
      <w:r>
        <w:rPr>
          <w:color w:val="000000"/>
        </w:rPr>
        <w:br/>
      </w:r>
      <w:r>
        <w:rPr>
          <w:color w:val="000000"/>
          <w:spacing w:val="-1"/>
        </w:rPr>
        <w:t>name, address, and telephon</w:t>
      </w:r>
      <w:r>
        <w:rPr>
          <w:color w:val="000000"/>
          <w:spacing w:val="-1"/>
        </w:rPr>
        <w:t xml:space="preserve">e number </w:t>
      </w:r>
      <w:r>
        <w:rPr>
          <w:rFonts w:ascii="Times New Roman Bold" w:hAnsi="Times New Roman Bold"/>
          <w:color w:val="000000"/>
          <w:w w:val="101"/>
        </w:rPr>
        <w:t>[**5]</w:t>
      </w:r>
      <w:r>
        <w:rPr>
          <w:color w:val="000000"/>
          <w:w w:val="101"/>
        </w:rPr>
        <w:t xml:space="preserve"> of the owner of the obligation or the master </w:t>
      </w:r>
      <w:proofErr w:type="spellStart"/>
      <w:r>
        <w:rPr>
          <w:color w:val="000000"/>
          <w:w w:val="101"/>
        </w:rPr>
        <w:t>ser</w:t>
      </w:r>
      <w:proofErr w:type="spellEnd"/>
      <w:r>
        <w:rPr>
          <w:color w:val="000000"/>
          <w:w w:val="101"/>
        </w:rPr>
        <w:t>-</w:t>
      </w:r>
    </w:p>
    <w:p w:rsidR="009E1284" w:rsidRDefault="005D7955">
      <w:pPr>
        <w:pStyle w:val="Normal1"/>
        <w:spacing w:line="260" w:lineRule="exact"/>
        <w:ind w:left="610" w:right="425"/>
        <w:jc w:val="both"/>
        <w:rPr>
          <w:color w:val="000000"/>
        </w:rPr>
      </w:pPr>
      <w:proofErr w:type="spellStart"/>
      <w:r>
        <w:rPr>
          <w:color w:val="000000"/>
        </w:rPr>
        <w:t>vicer</w:t>
      </w:r>
      <w:proofErr w:type="spellEnd"/>
      <w:r>
        <w:rPr>
          <w:color w:val="000000"/>
        </w:rPr>
        <w:t xml:space="preserve"> of the obligation.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Gale’s argument is simple: Franklin was his loan servicer, and under the plain language of the statute, was obliged to respond to his inquiry. </w:t>
      </w:r>
    </w:p>
    <w:p w:rsidR="009E1284" w:rsidRDefault="005D7955">
      <w:pPr>
        <w:pStyle w:val="Normal1"/>
        <w:spacing w:before="167" w:line="27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Gale’s argument has </w:t>
      </w:r>
      <w:r>
        <w:rPr>
          <w:color w:val="000000"/>
          <w:w w:val="102"/>
        </w:rPr>
        <w:t xml:space="preserve">surface appeal if we take a </w:t>
      </w:r>
      <w:proofErr w:type="spellStart"/>
      <w:r>
        <w:rPr>
          <w:color w:val="000000"/>
          <w:w w:val="102"/>
        </w:rPr>
        <w:t>blindered</w:t>
      </w:r>
      <w:proofErr w:type="spellEnd"/>
      <w:r>
        <w:rPr>
          <w:color w:val="000000"/>
          <w:w w:val="102"/>
        </w:rPr>
        <w:t xml:space="preserve"> view of the statute and read the </w:t>
      </w:r>
      <w:proofErr w:type="spellStart"/>
      <w:r>
        <w:rPr>
          <w:color w:val="000000"/>
          <w:w w:val="102"/>
        </w:rPr>
        <w:t>lan</w:t>
      </w:r>
      <w:proofErr w:type="spellEnd"/>
      <w:r>
        <w:rPr>
          <w:color w:val="000000"/>
          <w:w w:val="102"/>
        </w:rPr>
        <w:t>-</w:t>
      </w:r>
    </w:p>
    <w:p w:rsidR="009E1284" w:rsidRDefault="009E1284">
      <w:pPr>
        <w:pStyle w:val="Normal1"/>
        <w:rPr>
          <w:color w:val="000000"/>
          <w:w w:val="102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9E1284">
      <w:pPr>
        <w:pStyle w:val="Normal1"/>
        <w:spacing w:line="138" w:lineRule="exact"/>
        <w:ind w:left="610"/>
        <w:rPr>
          <w:color w:val="000000"/>
          <w:w w:val="102"/>
        </w:rPr>
      </w:pPr>
    </w:p>
    <w:p w:rsidR="009E1284" w:rsidRDefault="009E1284">
      <w:pPr>
        <w:pStyle w:val="Normal1"/>
        <w:spacing w:line="138" w:lineRule="exact"/>
        <w:ind w:left="610"/>
        <w:rPr>
          <w:color w:val="000000"/>
          <w:w w:val="102"/>
        </w:rPr>
      </w:pPr>
    </w:p>
    <w:p w:rsidR="009E1284" w:rsidRDefault="009E1284">
      <w:pPr>
        <w:pStyle w:val="Normal1"/>
        <w:spacing w:line="138" w:lineRule="exact"/>
        <w:ind w:left="610"/>
        <w:rPr>
          <w:color w:val="000000"/>
          <w:w w:val="102"/>
        </w:rPr>
      </w:pPr>
    </w:p>
    <w:p w:rsidR="009E1284" w:rsidRDefault="005D7955">
      <w:pPr>
        <w:pStyle w:val="Normal1"/>
        <w:spacing w:before="3" w:line="138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t>1</w:t>
      </w:r>
    </w:p>
    <w:p w:rsidR="009E1284" w:rsidRDefault="005D7955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br w:type="column"/>
      </w:r>
    </w:p>
    <w:p w:rsidR="009E1284" w:rsidRDefault="009E1284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E1284" w:rsidRDefault="009E1284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E1284" w:rsidRDefault="005D7955">
      <w:pPr>
        <w:pStyle w:val="Normal1"/>
        <w:spacing w:before="56" w:line="144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t xml:space="preserve">Although the order did not specify whether the court was granting dismissal, summary judgment, or both, the final judgment </w:t>
      </w:r>
    </w:p>
    <w:p w:rsidR="009E1284" w:rsidRDefault="009E1284">
      <w:pPr>
        <w:pStyle w:val="Normal1"/>
        <w:rPr>
          <w:color w:val="000000"/>
          <w:sz w:val="18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num="2" w:space="720" w:equalWidth="0">
            <w:col w:w="750" w:space="110"/>
            <w:col w:w="9780" w:space="160"/>
          </w:cols>
        </w:sectPr>
      </w:pPr>
    </w:p>
    <w:p w:rsidR="009E1284" w:rsidRDefault="005D7955">
      <w:pPr>
        <w:pStyle w:val="Normal1"/>
        <w:spacing w:before="17" w:line="175" w:lineRule="exact"/>
        <w:ind w:left="610"/>
        <w:rPr>
          <w:rFonts w:ascii="Symbol" w:hAnsi="Symbol"/>
          <w:color w:val="000000"/>
          <w:sz w:val="18"/>
        </w:rPr>
      </w:pPr>
      <w:r>
        <w:rPr>
          <w:color w:val="000000"/>
          <w:sz w:val="18"/>
        </w:rPr>
        <w:lastRenderedPageBreak/>
        <w:t>reflects that the district court granted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Defendants’ Motion to Dismiss.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Symbol" w:hAnsi="Symbol"/>
          <w:color w:val="000000"/>
          <w:sz w:val="18"/>
        </w:rPr>
        <w:t></w:t>
      </w:r>
    </w:p>
    <w:p w:rsidR="009E1284" w:rsidRDefault="009E1284">
      <w:pPr>
        <w:pStyle w:val="Normal1"/>
        <w:spacing w:line="230" w:lineRule="exact"/>
        <w:ind w:left="4895"/>
        <w:rPr>
          <w:rFonts w:ascii="Symbol" w:hAnsi="Symbol"/>
          <w:color w:val="000000"/>
          <w:sz w:val="18"/>
        </w:rPr>
      </w:pPr>
    </w:p>
    <w:p w:rsidR="009E1284" w:rsidRDefault="005D7955">
      <w:pPr>
        <w:pStyle w:val="Normal1"/>
        <w:spacing w:before="70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6" style="position:absolute;left:0;text-align:left;z-index:-251594752;mso-position-horizontal-relative:page;mso-position-vertical-relative:page" from="66.5pt,692.3pt" to="545.45pt,692.3pt" o:allowincell="f" strokeweight="1.5pt">
            <w10:wrap anchorx="page" anchory="page"/>
          </v:line>
        </w:pic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4" w:name="Pg5"/>
      <w:bookmarkEnd w:id="4"/>
      <w:r>
        <w:rPr>
          <w:color w:val="000000"/>
          <w:w w:val="103"/>
          <w:sz w:val="20"/>
        </w:rPr>
        <w:lastRenderedPageBreak/>
        <w:t xml:space="preserve">Page 5 of 7 </w:t>
      </w:r>
    </w:p>
    <w:p w:rsidR="009E1284" w:rsidRDefault="005D7955">
      <w:pPr>
        <w:pStyle w:val="Normal1"/>
        <w:spacing w:line="180" w:lineRule="exact"/>
        <w:ind w:left="3052"/>
        <w:rPr>
          <w:color w:val="000000"/>
          <w:sz w:val="20"/>
        </w:rPr>
      </w:pPr>
      <w:r>
        <w:rPr>
          <w:color w:val="000000"/>
          <w:sz w:val="20"/>
        </w:rPr>
        <w:t xml:space="preserve">686 F.3d 1055, *1058; 2012 U.S. App. LEXIS 14264, **5 </w:t>
      </w:r>
    </w:p>
    <w:p w:rsidR="009E1284" w:rsidRDefault="009E1284">
      <w:pPr>
        <w:pStyle w:val="Normal1"/>
        <w:spacing w:line="260" w:lineRule="exact"/>
        <w:ind w:left="610"/>
        <w:rPr>
          <w:color w:val="000000"/>
          <w:sz w:val="20"/>
        </w:rPr>
      </w:pPr>
    </w:p>
    <w:p w:rsidR="009E1284" w:rsidRDefault="005D7955">
      <w:pPr>
        <w:pStyle w:val="Normal1"/>
        <w:spacing w:before="26" w:line="260" w:lineRule="exact"/>
        <w:ind w:left="610" w:right="398"/>
        <w:rPr>
          <w:color w:val="000000"/>
          <w:spacing w:val="-2"/>
        </w:rPr>
      </w:pPr>
      <w:proofErr w:type="spellStart"/>
      <w:r>
        <w:rPr>
          <w:color w:val="000000"/>
          <w:spacing w:val="-2"/>
        </w:rPr>
        <w:t>guage</w:t>
      </w:r>
      <w:proofErr w:type="spellEnd"/>
      <w:r>
        <w:rPr>
          <w:color w:val="000000"/>
          <w:spacing w:val="-2"/>
        </w:rPr>
        <w:t xml:space="preserve"> he highlights in isolation. However,</w:t>
      </w:r>
      <w:r>
        <w:rPr>
          <w:rFonts w:ascii="Times New Roman Bold Italic" w:hAnsi="Times New Roman Bold Italic"/>
          <w:color w:val="000000"/>
          <w:spacing w:val="-2"/>
        </w:rPr>
        <w:t xml:space="preserve"> HN1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 xml:space="preserve">we start with the premise that </w:t>
      </w:r>
      <w:r>
        <w:rPr>
          <w:color w:val="000000"/>
          <w:spacing w:val="-2"/>
        </w:rPr>
        <w:t>’the words of a stat-</w:t>
      </w:r>
      <w:r>
        <w:rPr>
          <w:color w:val="000000"/>
          <w:spacing w:val="-2"/>
        </w:rPr>
        <w:br/>
      </w:r>
      <w:proofErr w:type="spellStart"/>
      <w:r>
        <w:rPr>
          <w:color w:val="000000"/>
        </w:rPr>
        <w:t>ute</w:t>
      </w:r>
      <w:proofErr w:type="spellEnd"/>
      <w:r>
        <w:rPr>
          <w:color w:val="000000"/>
        </w:rPr>
        <w:t xml:space="preserve"> must be read in their context and with a view to their place in the overall statutory scheme.’</w:t>
      </w:r>
      <w:r>
        <w:rPr>
          <w:rFonts w:ascii="Symbol" w:hAnsi="Symbol"/>
          <w:color w:val="000000"/>
        </w:rPr>
        <w:sym w:font="Symbol" w:char="F0B2"/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br/>
      </w:r>
      <w:r>
        <w:rPr>
          <w:rFonts w:ascii="Times New Roman Italic" w:hAnsi="Times New Roman Italic"/>
          <w:color w:val="0000FF"/>
          <w:u w:val="single"/>
        </w:rPr>
        <w:t xml:space="preserve"> Am. Bankers </w:t>
      </w:r>
      <w:proofErr w:type="spellStart"/>
      <w:r>
        <w:rPr>
          <w:rFonts w:ascii="Times New Roman Italic" w:hAnsi="Times New Roman Italic"/>
          <w:color w:val="0000FF"/>
          <w:u w:val="single"/>
        </w:rPr>
        <w:t>Ass’n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v. Gould</w:t>
      </w:r>
      <w:r>
        <w:rPr>
          <w:color w:val="0000FF"/>
          <w:u w:val="single"/>
        </w:rPr>
        <w:t xml:space="preserve"> , 412 F.3d 1081, 1086 (9th Cir. 2005)</w:t>
      </w:r>
      <w:r>
        <w:rPr>
          <w:color w:val="000000"/>
        </w:rPr>
        <w:t xml:space="preserve"> (quoting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Food &amp; Drug Ad-</w:t>
      </w:r>
      <w:r>
        <w:rPr>
          <w:rFonts w:ascii="Times New Roman Italic" w:hAnsi="Times New Roman Italic"/>
          <w:color w:val="0000FF"/>
          <w:u w:val="single"/>
        </w:rPr>
        <w:br/>
        <w:t>min. v. Brown &amp; Williamson Tobacco Corp</w:t>
      </w:r>
      <w:r>
        <w:rPr>
          <w:color w:val="0000FF"/>
          <w:u w:val="single"/>
        </w:rPr>
        <w:t xml:space="preserve"> .</w:t>
      </w:r>
      <w:r>
        <w:rPr>
          <w:color w:val="0000FF"/>
          <w:u w:val="single"/>
        </w:rPr>
        <w:t xml:space="preserve">, 529 U.S. 120, 133, 120 S. Ct. 1291, 146 L. Ed. 2d </w:t>
      </w:r>
      <w:r>
        <w:rPr>
          <w:color w:val="0000FF"/>
          <w:u w:val="single"/>
        </w:rPr>
        <w:br/>
      </w:r>
      <w:r>
        <w:rPr>
          <w:color w:val="0000FF"/>
          <w:spacing w:val="-3"/>
        </w:rPr>
        <w:t xml:space="preserve">121 </w:t>
      </w:r>
      <w:r>
        <w:rPr>
          <w:color w:val="0000FF"/>
          <w:w w:val="105"/>
        </w:rPr>
        <w:t>(2000))</w:t>
      </w:r>
      <w:r>
        <w:rPr>
          <w:color w:val="000000"/>
          <w:w w:val="105"/>
        </w:rPr>
        <w:t>. Our goal is to</w:t>
      </w:r>
      <w:r>
        <w:rPr>
          <w:rFonts w:ascii="Symbol" w:hAnsi="Symbol"/>
          <w:color w:val="000000"/>
          <w:w w:val="105"/>
        </w:rPr>
        <w:t></w:t>
      </w:r>
      <w:r>
        <w:rPr>
          <w:rFonts w:ascii="Symbol" w:hAnsi="Symbol"/>
          <w:color w:val="000000"/>
          <w:w w:val="105"/>
        </w:rPr>
        <w:t></w:t>
      </w:r>
      <w:r>
        <w:rPr>
          <w:color w:val="000000"/>
          <w:w w:val="105"/>
        </w:rPr>
        <w:t xml:space="preserve">understand the statute ’as a symmetrical and coherent regulatory </w:t>
      </w:r>
      <w:r>
        <w:rPr>
          <w:color w:val="000000"/>
          <w:w w:val="105"/>
        </w:rPr>
        <w:br/>
      </w:r>
      <w:r>
        <w:rPr>
          <w:color w:val="000000"/>
          <w:spacing w:val="-1"/>
        </w:rPr>
        <w:t>scheme’ and to ’fit, if possible, all parts into a ... harmonious whole.’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00"/>
          <w:spacing w:val="-1"/>
        </w:rPr>
        <w:t xml:space="preserve"> Id</w:t>
      </w:r>
      <w:r>
        <w:rPr>
          <w:color w:val="000000"/>
          <w:spacing w:val="-1"/>
        </w:rPr>
        <w:t>. (quoting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Brown &amp; </w:t>
      </w:r>
      <w:proofErr w:type="spellStart"/>
      <w:r>
        <w:rPr>
          <w:rFonts w:ascii="Times New Roman Italic" w:hAnsi="Times New Roman Italic"/>
          <w:color w:val="0000FF"/>
          <w:spacing w:val="-1"/>
          <w:u w:val="single"/>
        </w:rPr>
        <w:t>Wil</w:t>
      </w:r>
      <w:proofErr w:type="spellEnd"/>
      <w:r>
        <w:rPr>
          <w:rFonts w:ascii="Times New Roman Italic" w:hAnsi="Times New Roman Italic"/>
          <w:color w:val="0000FF"/>
          <w:spacing w:val="-1"/>
          <w:u w:val="single"/>
        </w:rPr>
        <w:t>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proofErr w:type="spellStart"/>
      <w:r>
        <w:rPr>
          <w:rFonts w:ascii="Times New Roman Italic" w:hAnsi="Times New Roman Italic"/>
          <w:color w:val="0000FF"/>
          <w:spacing w:val="-1"/>
          <w:u w:val="single"/>
        </w:rPr>
        <w:t>liamson</w:t>
      </w:r>
      <w:proofErr w:type="spellEnd"/>
      <w:r>
        <w:rPr>
          <w:color w:val="0000FF"/>
          <w:spacing w:val="-1"/>
          <w:u w:val="single"/>
        </w:rPr>
        <w:t xml:space="preserve"> , 529 U.S. at 133</w:t>
      </w:r>
      <w:r>
        <w:rPr>
          <w:color w:val="000000"/>
          <w:spacing w:val="-1"/>
        </w:rPr>
        <w:t>). Gale places emphasis on the final sentence of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§ 1641(f)(2)</w:t>
      </w:r>
      <w:r>
        <w:rPr>
          <w:color w:val="000000"/>
          <w:spacing w:val="-1"/>
        </w:rPr>
        <w:t>, but</w:t>
      </w:r>
      <w:r>
        <w:rPr>
          <w:rFonts w:ascii="Times New Roman Bold Italic" w:hAnsi="Times New Roman Bold Italic"/>
          <w:color w:val="000000"/>
          <w:spacing w:val="-1"/>
        </w:rPr>
        <w:t xml:space="preserve"> HN2</w:t>
      </w:r>
      <w:r>
        <w:rPr>
          <w:color w:val="000000"/>
          <w:spacing w:val="-1"/>
        </w:rPr>
        <w:t xml:space="preserve"> the </w:t>
      </w:r>
      <w:r>
        <w:rPr>
          <w:color w:val="000000"/>
          <w:spacing w:val="-1"/>
        </w:rPr>
        <w:br/>
      </w:r>
      <w:r>
        <w:rPr>
          <w:color w:val="000000"/>
        </w:rPr>
        <w:t>context of the sentence within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subsection (f)</w:t>
      </w:r>
      <w:r>
        <w:rPr>
          <w:color w:val="000000"/>
        </w:rPr>
        <w:t>, and within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</w:t>
      </w:r>
      <w:r>
        <w:rPr>
          <w:color w:val="000000"/>
        </w:rPr>
        <w:t xml:space="preserve"> as a whole, indicates that </w:t>
      </w:r>
      <w:proofErr w:type="spellStart"/>
      <w:r>
        <w:rPr>
          <w:color w:val="000000"/>
        </w:rPr>
        <w:t>liabil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ity</w:t>
      </w:r>
      <w:proofErr w:type="spellEnd"/>
      <w:r>
        <w:rPr>
          <w:color w:val="000000"/>
        </w:rPr>
        <w:t xml:space="preserve"> for failing to respond attaches only to those </w:t>
      </w:r>
      <w:r>
        <w:rPr>
          <w:color w:val="000000"/>
        </w:rPr>
        <w:t>servicers who are</w:t>
      </w:r>
      <w:r>
        <w:rPr>
          <w:rFonts w:ascii="Times New Roman Italic" w:hAnsi="Times New Roman Italic"/>
          <w:color w:val="000000"/>
        </w:rPr>
        <w:t xml:space="preserve"> also assignees</w:t>
      </w:r>
      <w:r>
        <w:rPr>
          <w:color w:val="000000"/>
        </w:rPr>
        <w:t xml:space="preserve"> of the loan. Be-</w:t>
      </w:r>
      <w:r>
        <w:rPr>
          <w:color w:val="000000"/>
        </w:rPr>
        <w:br/>
        <w:t xml:space="preserve">cause Franklin was not an assignee of the loan, but rather the original </w:t>
      </w:r>
      <w:r>
        <w:rPr>
          <w:rFonts w:ascii="Times New Roman Bold" w:hAnsi="Times New Roman Bold"/>
          <w:color w:val="000000"/>
          <w:spacing w:val="-2"/>
        </w:rPr>
        <w:t>[**6]</w:t>
      </w:r>
      <w:r>
        <w:rPr>
          <w:color w:val="000000"/>
          <w:spacing w:val="-2"/>
        </w:rPr>
        <w:t xml:space="preserve"> creditor, Gale’s claim </w:t>
      </w:r>
    </w:p>
    <w:p w:rsidR="009E1284" w:rsidRDefault="005D7955">
      <w:pPr>
        <w:pStyle w:val="Normal1"/>
        <w:spacing w:before="3" w:line="257" w:lineRule="exact"/>
        <w:ind w:left="610"/>
        <w:rPr>
          <w:color w:val="000000"/>
          <w:spacing w:val="-3"/>
        </w:rPr>
      </w:pPr>
      <w:r>
        <w:rPr>
          <w:color w:val="000000"/>
          <w:spacing w:val="-3"/>
        </w:rPr>
        <w:t xml:space="preserve">fails. </w:t>
      </w:r>
    </w:p>
    <w:p w:rsidR="009E1284" w:rsidRDefault="005D7955">
      <w:pPr>
        <w:pStyle w:val="Normal1"/>
        <w:spacing w:before="201" w:line="260" w:lineRule="exact"/>
        <w:ind w:left="610" w:right="397"/>
        <w:rPr>
          <w:color w:val="000000"/>
          <w:w w:val="101"/>
        </w:rPr>
      </w:pPr>
      <w:r>
        <w:rPr>
          <w:color w:val="000000"/>
        </w:rPr>
        <w:t>Consistent with basic principles of statutory interpretation, we step back to examine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</w:t>
      </w:r>
      <w:r>
        <w:rPr>
          <w:color w:val="000000"/>
        </w:rPr>
        <w:t xml:space="preserve"> as a </w:t>
      </w:r>
      <w:r>
        <w:rPr>
          <w:color w:val="000000"/>
        </w:rPr>
        <w:br/>
        <w:t>whole before focusing on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paragraph (f)(2)</w:t>
      </w:r>
      <w:r>
        <w:rPr>
          <w:color w:val="000000"/>
        </w:rPr>
        <w:t>.</w:t>
      </w:r>
      <w:r>
        <w:rPr>
          <w:rFonts w:ascii="Times New Roman Bold Italic" w:hAnsi="Times New Roman Bold Italic"/>
          <w:color w:val="000000"/>
        </w:rPr>
        <w:t xml:space="preserve"> HN3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1641</w:t>
      </w:r>
      <w:r>
        <w:rPr>
          <w:color w:val="000000"/>
        </w:rPr>
        <w:t xml:space="preserve"> does not address the liability of </w:t>
      </w:r>
      <w:r>
        <w:rPr>
          <w:color w:val="000000"/>
        </w:rPr>
        <w:br/>
      </w:r>
      <w:r>
        <w:rPr>
          <w:color w:val="000000"/>
          <w:spacing w:val="-1"/>
        </w:rPr>
        <w:t>creditors in general; rather each of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§ 1641</w:t>
      </w:r>
      <w:r>
        <w:rPr>
          <w:color w:val="000000"/>
          <w:spacing w:val="-1"/>
        </w:rPr>
        <w:t>’s subsections address entities who are</w:t>
      </w:r>
      <w:r>
        <w:rPr>
          <w:rFonts w:ascii="Times New Roman Italic" w:hAnsi="Times New Roman Italic"/>
          <w:color w:val="000000"/>
          <w:spacing w:val="-1"/>
        </w:rPr>
        <w:t xml:space="preserve"> purchasers or as-</w:t>
      </w:r>
      <w:r>
        <w:rPr>
          <w:rFonts w:ascii="Times New Roman Italic" w:hAnsi="Times New Roman Italic"/>
          <w:color w:val="000000"/>
          <w:spacing w:val="-1"/>
        </w:rPr>
        <w:br/>
      </w:r>
      <w:r>
        <w:rPr>
          <w:rFonts w:ascii="Times New Roman Italic" w:hAnsi="Times New Roman Italic"/>
          <w:color w:val="000000"/>
        </w:rPr>
        <w:t>signees</w:t>
      </w:r>
      <w:r>
        <w:rPr>
          <w:color w:val="000000"/>
        </w:rPr>
        <w:t xml:space="preserve"> of mortgages.</w:t>
      </w:r>
      <w:r>
        <w:rPr>
          <w:rFonts w:ascii="Times New Roman Italic" w:hAnsi="Times New Roman Italic"/>
          <w:color w:val="000000"/>
        </w:rPr>
        <w:t xml:space="preserve"> See, e.g</w:t>
      </w:r>
      <w:r>
        <w:rPr>
          <w:color w:val="000000"/>
        </w:rPr>
        <w:t>.,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1641(a)</w:t>
      </w:r>
      <w:r>
        <w:rPr>
          <w:color w:val="000000"/>
        </w:rPr>
        <w:t xml:space="preserve"> (A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civil action for a violation ... may be maintained </w:t>
      </w:r>
      <w:r>
        <w:rPr>
          <w:color w:val="000000"/>
        </w:rPr>
        <w:br/>
      </w:r>
      <w:r>
        <w:rPr>
          <w:color w:val="000000"/>
          <w:w w:val="106"/>
        </w:rPr>
        <w:t>against any assignee ... only if the violation ... is apparent on the face of the disclosure state-</w:t>
      </w:r>
      <w:r>
        <w:rPr>
          <w:color w:val="000000"/>
          <w:w w:val="106"/>
        </w:rPr>
        <w:br/>
      </w:r>
      <w:proofErr w:type="spellStart"/>
      <w:r>
        <w:rPr>
          <w:color w:val="000000"/>
        </w:rPr>
        <w:t>ment</w:t>
      </w:r>
      <w:proofErr w:type="spellEnd"/>
      <w:r>
        <w:rPr>
          <w:color w:val="000000"/>
        </w:rPr>
        <w:t>, except where the assignment was involuntary.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1641(b)</w:t>
      </w:r>
      <w:r>
        <w:rPr>
          <w:color w:val="000000"/>
        </w:rPr>
        <w:t xml:space="preserve"> (concerning statutory </w:t>
      </w:r>
      <w:proofErr w:type="spellStart"/>
      <w:r>
        <w:rPr>
          <w:color w:val="000000"/>
        </w:rPr>
        <w:t>compli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ance</w:t>
      </w:r>
      <w:proofErr w:type="spellEnd"/>
      <w:r>
        <w:rPr>
          <w:color w:val="000000"/>
        </w:rPr>
        <w:t xml:space="preserve"> by a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subsequent assignee of the original creditor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1641(c)</w:t>
      </w:r>
      <w:r>
        <w:rPr>
          <w:color w:val="000000"/>
        </w:rPr>
        <w:t xml:space="preserve">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Any consumer who has the </w:t>
      </w:r>
      <w:r>
        <w:rPr>
          <w:color w:val="000000"/>
        </w:rPr>
        <w:br/>
      </w:r>
      <w:r>
        <w:rPr>
          <w:color w:val="000000"/>
          <w:w w:val="102"/>
        </w:rPr>
        <w:t xml:space="preserve">right to rescind a transaction ... may rescind the transaction as against any assignee of the </w:t>
      </w:r>
      <w:proofErr w:type="spellStart"/>
      <w:r>
        <w:rPr>
          <w:color w:val="000000"/>
          <w:w w:val="102"/>
        </w:rPr>
        <w:t>obli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</w:rPr>
        <w:t>gation</w:t>
      </w:r>
      <w:proofErr w:type="spellEnd"/>
      <w:r>
        <w:rPr>
          <w:color w:val="000000"/>
        </w:rPr>
        <w:t>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1641(d)(1)</w:t>
      </w:r>
      <w:r>
        <w:rPr>
          <w:color w:val="000000"/>
        </w:rPr>
        <w:t xml:space="preserve">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Any person who purchases or is otherwise</w:t>
      </w:r>
      <w:r>
        <w:rPr>
          <w:color w:val="000000"/>
        </w:rPr>
        <w:t xml:space="preserve"> assigned a mortgage ... shall </w:t>
      </w:r>
      <w:r>
        <w:rPr>
          <w:color w:val="000000"/>
        </w:rPr>
        <w:br/>
      </w:r>
      <w:r>
        <w:rPr>
          <w:color w:val="000000"/>
          <w:spacing w:val="-2"/>
        </w:rPr>
        <w:t>be subject to all claims and defenses with respect to that mortgage.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>).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Subsection (f)</w:t>
      </w:r>
      <w:r>
        <w:rPr>
          <w:color w:val="000000"/>
          <w:spacing w:val="-2"/>
        </w:rPr>
        <w:t>, the final sub-</w:t>
      </w:r>
      <w:r>
        <w:rPr>
          <w:color w:val="000000"/>
          <w:spacing w:val="-2"/>
        </w:rPr>
        <w:br/>
      </w:r>
      <w:r>
        <w:rPr>
          <w:color w:val="000000"/>
          <w:w w:val="103"/>
        </w:rPr>
        <w:t>section of</w:t>
      </w:r>
      <w:r>
        <w:rPr>
          <w:rFonts w:ascii="Times New Roman Italic" w:hAnsi="Times New Roman Italic"/>
          <w:color w:val="0000FF"/>
          <w:w w:val="103"/>
        </w:rPr>
        <w:t xml:space="preserve"> 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§ 1641</w:t>
      </w:r>
      <w:r>
        <w:rPr>
          <w:color w:val="000000"/>
          <w:w w:val="103"/>
        </w:rPr>
        <w:t xml:space="preserve"> at the time Gale’s action accrued, is no exception.</w:t>
      </w:r>
      <w:r>
        <w:rPr>
          <w:color w:val="000000"/>
          <w:w w:val="103"/>
          <w:vertAlign w:val="superscript"/>
        </w:rPr>
        <w:t>2</w:t>
      </w:r>
      <w:r>
        <w:rPr>
          <w:color w:val="000000"/>
          <w:w w:val="103"/>
        </w:rPr>
        <w:t xml:space="preserve"> Although it concerns </w:t>
      </w:r>
      <w:proofErr w:type="spellStart"/>
      <w:r>
        <w:rPr>
          <w:color w:val="000000"/>
          <w:w w:val="103"/>
        </w:rPr>
        <w:t>ser</w:t>
      </w:r>
      <w:proofErr w:type="spellEnd"/>
      <w:r>
        <w:rPr>
          <w:color w:val="000000"/>
          <w:w w:val="103"/>
        </w:rPr>
        <w:t>-</w:t>
      </w:r>
      <w:r>
        <w:rPr>
          <w:color w:val="000000"/>
          <w:w w:val="103"/>
        </w:rPr>
        <w:br/>
      </w:r>
      <w:proofErr w:type="spellStart"/>
      <w:r>
        <w:rPr>
          <w:color w:val="000000"/>
        </w:rPr>
        <w:t>vicers</w:t>
      </w:r>
      <w:proofErr w:type="spellEnd"/>
      <w:r>
        <w:rPr>
          <w:color w:val="000000"/>
        </w:rPr>
        <w:t xml:space="preserve"> in particular, these servicers, like the </w:t>
      </w:r>
      <w:r>
        <w:rPr>
          <w:rFonts w:ascii="Times New Roman Bold" w:hAnsi="Times New Roman Bold"/>
          <w:color w:val="000000"/>
          <w:w w:val="101"/>
        </w:rPr>
        <w:t>[*1059]</w:t>
      </w:r>
      <w:r>
        <w:rPr>
          <w:color w:val="000000"/>
          <w:w w:val="101"/>
        </w:rPr>
        <w:t xml:space="preserve">  other entities regulated by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§ 1641</w:t>
      </w:r>
      <w:r>
        <w:rPr>
          <w:color w:val="000000"/>
          <w:w w:val="101"/>
        </w:rPr>
        <w:t xml:space="preserve">, are </w:t>
      </w:r>
    </w:p>
    <w:p w:rsidR="009E1284" w:rsidRDefault="005D7955">
      <w:pPr>
        <w:pStyle w:val="Normal1"/>
        <w:spacing w:before="3" w:line="257" w:lineRule="exact"/>
        <w:ind w:left="610"/>
        <w:rPr>
          <w:color w:val="000000"/>
          <w:spacing w:val="-2"/>
        </w:rPr>
      </w:pPr>
      <w:r>
        <w:rPr>
          <w:color w:val="000000"/>
          <w:spacing w:val="-2"/>
        </w:rPr>
        <w:t xml:space="preserve">also assignees: </w:t>
      </w:r>
    </w:p>
    <w:p w:rsidR="009E1284" w:rsidRDefault="005D7955">
      <w:pPr>
        <w:pStyle w:val="Normal1"/>
        <w:tabs>
          <w:tab w:val="left" w:pos="3098"/>
        </w:tabs>
        <w:spacing w:before="227" w:line="276" w:lineRule="exact"/>
        <w:ind w:left="1089"/>
        <w:rPr>
          <w:rFonts w:ascii="Times New Roman Italic" w:hAnsi="Times New Roman Italic"/>
          <w:color w:val="000000"/>
          <w:spacing w:val="-1"/>
        </w:rPr>
      </w:pPr>
      <w:r>
        <w:rPr>
          <w:rFonts w:ascii="Times New Roman Bold Italic" w:hAnsi="Times New Roman Bold Italic"/>
          <w:color w:val="000000"/>
          <w:spacing w:val="-1"/>
        </w:rPr>
        <w:t>HN4</w:t>
      </w:r>
      <w:r>
        <w:rPr>
          <w:color w:val="000000"/>
          <w:spacing w:val="-1"/>
        </w:rPr>
        <w:t xml:space="preserve"> (f) Treatment</w:t>
      </w:r>
      <w:r>
        <w:rPr>
          <w:color w:val="000000"/>
          <w:spacing w:val="-1"/>
        </w:rPr>
        <w:tab/>
      </w:r>
      <w:r>
        <w:rPr>
          <w:rFonts w:ascii="Times New Roman Bold" w:hAnsi="Times New Roman Bold"/>
          <w:color w:val="000000"/>
          <w:spacing w:val="-1"/>
        </w:rPr>
        <w:t>[**7]</w:t>
      </w:r>
      <w:r>
        <w:rPr>
          <w:rFonts w:ascii="Times New Roman Italic" w:hAnsi="Times New Roman Italic"/>
          <w:color w:val="000000"/>
          <w:spacing w:val="-1"/>
        </w:rPr>
        <w:t xml:space="preserve"> of servicer</w:t>
      </w:r>
    </w:p>
    <w:p w:rsidR="009E1284" w:rsidRDefault="005D7955">
      <w:pPr>
        <w:pStyle w:val="Normal1"/>
        <w:spacing w:before="103" w:line="276" w:lineRule="exact"/>
        <w:ind w:left="1089"/>
        <w:rPr>
          <w:rFonts w:ascii="Times New Roman Italic" w:hAnsi="Times New Roman Italic"/>
          <w:color w:val="000000"/>
          <w:spacing w:val="-1"/>
        </w:rPr>
      </w:pPr>
      <w:r>
        <w:rPr>
          <w:rFonts w:ascii="Times New Roman Italic" w:hAnsi="Times New Roman Italic"/>
          <w:color w:val="000000"/>
          <w:spacing w:val="-1"/>
        </w:rPr>
        <w:t>(1) In general</w:t>
      </w:r>
    </w:p>
    <w:p w:rsidR="009E1284" w:rsidRDefault="005D7955">
      <w:pPr>
        <w:pStyle w:val="Normal1"/>
        <w:spacing w:before="146" w:line="276" w:lineRule="exact"/>
        <w:ind w:left="1089"/>
        <w:rPr>
          <w:color w:val="000000"/>
        </w:rPr>
      </w:pPr>
      <w:r>
        <w:rPr>
          <w:color w:val="000000"/>
        </w:rPr>
        <w:t xml:space="preserve">A servicer of a consumer obligation arising from a consumer credit transaction shall </w:t>
      </w:r>
    </w:p>
    <w:p w:rsidR="009E1284" w:rsidRDefault="005D7955">
      <w:pPr>
        <w:pStyle w:val="Normal1"/>
        <w:spacing w:line="260" w:lineRule="exact"/>
        <w:ind w:left="1089" w:right="878"/>
        <w:jc w:val="both"/>
        <w:rPr>
          <w:color w:val="000000"/>
          <w:spacing w:val="-3"/>
        </w:rPr>
      </w:pPr>
      <w:r>
        <w:rPr>
          <w:color w:val="000000"/>
          <w:spacing w:val="-2"/>
        </w:rPr>
        <w:t>not</w:t>
      </w:r>
      <w:r>
        <w:rPr>
          <w:color w:val="000000"/>
          <w:spacing w:val="-2"/>
        </w:rPr>
        <w:t xml:space="preserve"> be treated as an assignee of such obligation for purposes of this section unless the ser</w:t>
      </w:r>
      <w:r>
        <w:rPr>
          <w:color w:val="000000"/>
          <w:spacing w:val="-3"/>
        </w:rPr>
        <w:t xml:space="preserve">vicer is or was the owner of the obligation. </w:t>
      </w:r>
    </w:p>
    <w:p w:rsidR="009E1284" w:rsidRDefault="005D7955">
      <w:pPr>
        <w:pStyle w:val="Normal1"/>
        <w:spacing w:before="118" w:line="260" w:lineRule="exact"/>
        <w:ind w:left="1089" w:right="1302"/>
        <w:jc w:val="both"/>
        <w:rPr>
          <w:rFonts w:ascii="Times New Roman Italic" w:hAnsi="Times New Roman Italic"/>
          <w:color w:val="000000"/>
          <w:spacing w:val="-3"/>
        </w:rPr>
      </w:pPr>
      <w:r>
        <w:rPr>
          <w:rFonts w:ascii="Times New Roman Italic" w:hAnsi="Times New Roman Italic"/>
          <w:color w:val="000000"/>
        </w:rPr>
        <w:t xml:space="preserve">(2) Servicer not treated as owner on basis of assign </w:t>
      </w:r>
      <w:proofErr w:type="spellStart"/>
      <w:r>
        <w:rPr>
          <w:rFonts w:ascii="Times New Roman Italic" w:hAnsi="Times New Roman Italic"/>
          <w:color w:val="000000"/>
        </w:rPr>
        <w:t>ment</w:t>
      </w:r>
      <w:proofErr w:type="spellEnd"/>
      <w:r>
        <w:rPr>
          <w:rFonts w:ascii="Times New Roman Italic" w:hAnsi="Times New Roman Italic"/>
          <w:color w:val="000000"/>
        </w:rPr>
        <w:t xml:space="preserve"> for administrative </w:t>
      </w:r>
      <w:proofErr w:type="spellStart"/>
      <w:r>
        <w:rPr>
          <w:rFonts w:ascii="Times New Roman Italic" w:hAnsi="Times New Roman Italic"/>
          <w:color w:val="000000"/>
        </w:rPr>
        <w:t>conve</w:t>
      </w:r>
      <w:proofErr w:type="spellEnd"/>
      <w:r>
        <w:rPr>
          <w:rFonts w:ascii="Times New Roman Italic" w:hAnsi="Times New Roman Italic"/>
          <w:color w:val="000000"/>
        </w:rPr>
        <w:t>-</w:t>
      </w:r>
      <w:r>
        <w:rPr>
          <w:rFonts w:ascii="Times New Roman Italic" w:hAnsi="Times New Roman Italic"/>
          <w:color w:val="000000"/>
        </w:rPr>
        <w:br/>
      </w:r>
      <w:proofErr w:type="spellStart"/>
      <w:r>
        <w:rPr>
          <w:rFonts w:ascii="Times New Roman Italic" w:hAnsi="Times New Roman Italic"/>
          <w:color w:val="000000"/>
          <w:spacing w:val="-3"/>
        </w:rPr>
        <w:t>nience</w:t>
      </w:r>
      <w:proofErr w:type="spellEnd"/>
      <w:r>
        <w:rPr>
          <w:rFonts w:ascii="Times New Roman Italic" w:hAnsi="Times New Roman Italic"/>
          <w:color w:val="000000"/>
          <w:spacing w:val="-3"/>
        </w:rPr>
        <w:t xml:space="preserve"> </w:t>
      </w:r>
    </w:p>
    <w:p w:rsidR="009E1284" w:rsidRDefault="005D7955">
      <w:pPr>
        <w:pStyle w:val="Normal1"/>
        <w:spacing w:before="167" w:line="276" w:lineRule="exact"/>
        <w:ind w:left="1089"/>
        <w:rPr>
          <w:color w:val="000000"/>
        </w:rPr>
      </w:pPr>
      <w:r>
        <w:rPr>
          <w:color w:val="000000"/>
        </w:rPr>
        <w:t>A servicer of a consumer obli</w:t>
      </w:r>
      <w:r>
        <w:rPr>
          <w:color w:val="000000"/>
        </w:rPr>
        <w:t xml:space="preserve">gation arising from a consumer credit transaction shall </w:t>
      </w:r>
    </w:p>
    <w:p w:rsidR="009E1284" w:rsidRDefault="005D7955">
      <w:pPr>
        <w:pStyle w:val="Normal1"/>
        <w:spacing w:line="260" w:lineRule="exact"/>
        <w:ind w:left="1089" w:right="877"/>
        <w:rPr>
          <w:color w:val="000000"/>
        </w:rPr>
      </w:pPr>
      <w:r>
        <w:rPr>
          <w:color w:val="000000"/>
          <w:w w:val="102"/>
        </w:rPr>
        <w:t xml:space="preserve">not be treated as the owner of the obligation for purposes of this section on the basis of </w:t>
      </w:r>
      <w:r>
        <w:rPr>
          <w:color w:val="000000"/>
        </w:rPr>
        <w:t xml:space="preserve">an assignment of the obligation from the creditor or another assignee to the servicer </w:t>
      </w:r>
      <w:r>
        <w:rPr>
          <w:color w:val="000000"/>
          <w:spacing w:val="-2"/>
        </w:rPr>
        <w:t xml:space="preserve">solely for the administrative convenience of the servicer in servicing the obligation. Upon </w:t>
      </w:r>
      <w:r>
        <w:rPr>
          <w:color w:val="000000"/>
        </w:rPr>
        <w:t>written request by the obligor, the servicer shall provide the obligor, to the best knowledge of the servicer, with the name, address, and telephone number of the o</w:t>
      </w:r>
      <w:r>
        <w:rPr>
          <w:color w:val="000000"/>
        </w:rPr>
        <w:t xml:space="preserve">wner of the obligation or the master servicer of the obligation. </w:t>
      </w:r>
    </w:p>
    <w:p w:rsidR="009E1284" w:rsidRDefault="005D7955">
      <w:pPr>
        <w:pStyle w:val="Normal1"/>
        <w:spacing w:before="178" w:line="260" w:lineRule="exact"/>
        <w:ind w:left="610" w:right="398"/>
        <w:jc w:val="both"/>
        <w:rPr>
          <w:color w:val="000000"/>
        </w:rPr>
      </w:pPr>
      <w:r>
        <w:rPr>
          <w:rFonts w:ascii="Times New Roman Bold Italic" w:hAnsi="Times New Roman Bold Italic"/>
          <w:color w:val="000000"/>
          <w:w w:val="102"/>
        </w:rPr>
        <w:t>HN5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Subsection (f)</w:t>
      </w:r>
      <w:r>
        <w:rPr>
          <w:color w:val="000000"/>
          <w:w w:val="102"/>
        </w:rPr>
        <w:t>, in keeping with the theme of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§ 1641</w:t>
      </w:r>
      <w:r>
        <w:rPr>
          <w:color w:val="000000"/>
          <w:w w:val="102"/>
        </w:rPr>
        <w:t xml:space="preserve"> as a whole, and the other subsections </w:t>
      </w:r>
      <w:r>
        <w:rPr>
          <w:color w:val="000000"/>
          <w:w w:val="102"/>
        </w:rPr>
        <w:br/>
      </w:r>
      <w:r>
        <w:rPr>
          <w:color w:val="000000"/>
        </w:rPr>
        <w:t>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1641</w:t>
      </w:r>
      <w:r>
        <w:rPr>
          <w:color w:val="000000"/>
        </w:rPr>
        <w:t xml:space="preserve">, addresses only the assignee liability of a servicer, and sets out a general rule </w:t>
      </w:r>
      <w:r>
        <w:rPr>
          <w:color w:val="000000"/>
        </w:rPr>
        <w:t xml:space="preserve">that a </w:t>
      </w:r>
      <w:proofErr w:type="spellStart"/>
      <w:r>
        <w:rPr>
          <w:color w:val="000000"/>
        </w:rPr>
        <w:t>ser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vicer</w:t>
      </w:r>
      <w:proofErr w:type="spellEnd"/>
      <w:r>
        <w:rPr>
          <w:color w:val="000000"/>
        </w:rPr>
        <w:t xml:space="preserve"> must be the assignee-owner of the obligation to incur assignee liability. As the House Re-</w:t>
      </w:r>
    </w:p>
    <w:p w:rsidR="009E1284" w:rsidRDefault="009E1284">
      <w:pPr>
        <w:pStyle w:val="Normal1"/>
        <w:rPr>
          <w:color w:val="000000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9E1284">
      <w:pPr>
        <w:pStyle w:val="Normal1"/>
        <w:spacing w:line="138" w:lineRule="exact"/>
        <w:ind w:left="610"/>
        <w:rPr>
          <w:color w:val="000000"/>
        </w:rPr>
      </w:pPr>
    </w:p>
    <w:p w:rsidR="009E1284" w:rsidRDefault="009E1284">
      <w:pPr>
        <w:pStyle w:val="Normal1"/>
        <w:spacing w:line="138" w:lineRule="exact"/>
        <w:ind w:left="610"/>
        <w:rPr>
          <w:color w:val="000000"/>
        </w:rPr>
      </w:pPr>
    </w:p>
    <w:p w:rsidR="009E1284" w:rsidRDefault="009E1284">
      <w:pPr>
        <w:pStyle w:val="Normal1"/>
        <w:spacing w:line="138" w:lineRule="exact"/>
        <w:ind w:left="610"/>
        <w:rPr>
          <w:color w:val="000000"/>
        </w:rPr>
      </w:pPr>
    </w:p>
    <w:p w:rsidR="009E1284" w:rsidRDefault="005D7955">
      <w:pPr>
        <w:pStyle w:val="Normal1"/>
        <w:spacing w:before="19" w:line="138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t>2</w:t>
      </w:r>
    </w:p>
    <w:p w:rsidR="009E1284" w:rsidRDefault="005D7955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br w:type="column"/>
      </w:r>
    </w:p>
    <w:p w:rsidR="009E1284" w:rsidRDefault="009E1284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E1284" w:rsidRDefault="009E1284">
      <w:pPr>
        <w:pStyle w:val="Normal1"/>
        <w:spacing w:line="144" w:lineRule="exact"/>
        <w:ind w:left="610"/>
        <w:rPr>
          <w:color w:val="000000"/>
          <w:spacing w:val="-1"/>
          <w:sz w:val="12"/>
        </w:rPr>
      </w:pPr>
    </w:p>
    <w:p w:rsidR="009E1284" w:rsidRDefault="005D7955">
      <w:pPr>
        <w:pStyle w:val="Normal1"/>
        <w:spacing w:before="70" w:line="144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t>In 2009, Congress added subsection (g), which continues the pattern, and requires that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 xml:space="preserve">not later than 30 days after the date </w:t>
      </w:r>
    </w:p>
    <w:p w:rsidR="009E1284" w:rsidRDefault="009E1284">
      <w:pPr>
        <w:pStyle w:val="Normal1"/>
        <w:rPr>
          <w:color w:val="000000"/>
          <w:sz w:val="18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num="2" w:space="720" w:equalWidth="0">
            <w:col w:w="750" w:space="110"/>
            <w:col w:w="9780" w:space="160"/>
          </w:cols>
        </w:sectPr>
      </w:pPr>
    </w:p>
    <w:p w:rsidR="009E1284" w:rsidRDefault="005D7955">
      <w:pPr>
        <w:pStyle w:val="Normal1"/>
        <w:spacing w:before="4" w:line="207" w:lineRule="exact"/>
        <w:ind w:left="610"/>
        <w:rPr>
          <w:color w:val="000000"/>
          <w:w w:val="102"/>
          <w:sz w:val="18"/>
        </w:rPr>
      </w:pPr>
      <w:r>
        <w:rPr>
          <w:color w:val="000000"/>
          <w:w w:val="102"/>
          <w:sz w:val="18"/>
        </w:rPr>
        <w:lastRenderedPageBreak/>
        <w:t>on which a mortgage loan is sold or otherwise transferred or assigned to a third party, the creditor that is the new owner or as-</w:t>
      </w:r>
    </w:p>
    <w:p w:rsidR="009E1284" w:rsidRDefault="009E1284">
      <w:pPr>
        <w:pStyle w:val="Normal1"/>
        <w:rPr>
          <w:color w:val="000000"/>
          <w:w w:val="102"/>
          <w:sz w:val="18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tabs>
          <w:tab w:val="left" w:pos="2928"/>
          <w:tab w:val="left" w:leader="dot" w:pos="6531"/>
        </w:tabs>
        <w:spacing w:before="1" w:line="197" w:lineRule="exact"/>
        <w:ind w:left="610"/>
        <w:rPr>
          <w:color w:val="000000"/>
          <w:w w:val="101"/>
          <w:sz w:val="18"/>
        </w:rPr>
      </w:pPr>
      <w:r>
        <w:rPr>
          <w:color w:val="000000"/>
          <w:w w:val="101"/>
          <w:sz w:val="18"/>
        </w:rPr>
        <w:lastRenderedPageBreak/>
        <w:t>signee of the debt shall notify</w:t>
      </w:r>
      <w:r>
        <w:rPr>
          <w:color w:val="000000"/>
          <w:w w:val="101"/>
          <w:sz w:val="18"/>
        </w:rPr>
        <w:tab/>
      </w:r>
      <w:r>
        <w:rPr>
          <w:rFonts w:ascii="Times New Roman Bold" w:hAnsi="Times New Roman Bold"/>
          <w:color w:val="000000"/>
          <w:w w:val="101"/>
          <w:sz w:val="18"/>
        </w:rPr>
        <w:t>[**8]</w:t>
      </w:r>
      <w:r>
        <w:rPr>
          <w:color w:val="000000"/>
          <w:w w:val="101"/>
          <w:sz w:val="18"/>
        </w:rPr>
        <w:t xml:space="preserve"> the </w:t>
      </w:r>
      <w:r>
        <w:rPr>
          <w:color w:val="000000"/>
          <w:w w:val="101"/>
          <w:sz w:val="18"/>
        </w:rPr>
        <w:t>borrower in writing of such transfer</w:t>
      </w:r>
      <w:r>
        <w:rPr>
          <w:color w:val="000000"/>
          <w:sz w:val="18"/>
        </w:rPr>
        <w:tab/>
      </w:r>
      <w:r>
        <w:rPr>
          <w:rFonts w:ascii="Symbol" w:hAnsi="Symbol"/>
          <w:color w:val="000000"/>
          <w:w w:val="101"/>
          <w:sz w:val="18"/>
        </w:rPr>
        <w:sym w:font="Symbol" w:char="F0B2"/>
      </w:r>
      <w:r>
        <w:rPr>
          <w:color w:val="000000"/>
          <w:w w:val="101"/>
          <w:sz w:val="18"/>
        </w:rPr>
        <w:t xml:space="preserve"> The Helping Families Save Their Homes Act of</w:t>
      </w:r>
    </w:p>
    <w:p w:rsidR="009E1284" w:rsidRDefault="009E1284">
      <w:pPr>
        <w:pStyle w:val="Normal1"/>
        <w:rPr>
          <w:color w:val="000000"/>
          <w:w w:val="101"/>
          <w:sz w:val="18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before="1" w:line="200" w:lineRule="exact"/>
        <w:ind w:left="610"/>
        <w:rPr>
          <w:color w:val="000000"/>
          <w:w w:val="101"/>
          <w:sz w:val="18"/>
        </w:rPr>
      </w:pPr>
      <w:r>
        <w:rPr>
          <w:color w:val="000000"/>
          <w:w w:val="101"/>
          <w:sz w:val="18"/>
        </w:rPr>
        <w:lastRenderedPageBreak/>
        <w:t>2009,</w:t>
      </w:r>
      <w:r>
        <w:rPr>
          <w:color w:val="0000FF"/>
          <w:w w:val="101"/>
          <w:sz w:val="18"/>
        </w:rPr>
        <w:t xml:space="preserve"> </w:t>
      </w:r>
      <w:r>
        <w:rPr>
          <w:color w:val="0000FF"/>
          <w:w w:val="101"/>
          <w:sz w:val="18"/>
          <w:u w:val="single"/>
        </w:rPr>
        <w:t xml:space="preserve"> Pub. L. No. 111-22, § 404(g), 123 Stat. 1632, 1658 (2009)</w:t>
      </w:r>
      <w:r>
        <w:rPr>
          <w:color w:val="000000"/>
          <w:w w:val="101"/>
          <w:sz w:val="18"/>
        </w:rPr>
        <w:t>.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  <w:w w:val="101"/>
          <w:sz w:val="18"/>
        </w:rPr>
      </w:pPr>
    </w:p>
    <w:p w:rsidR="009E1284" w:rsidRDefault="005D7955">
      <w:pPr>
        <w:pStyle w:val="Normal1"/>
        <w:spacing w:before="61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7" style="position:absolute;left:0;text-align:left;z-index:-251599872;mso-position-horizontal-relative:page;mso-position-vertical-relative:page" from="66.5pt,132.8pt" to="125.75pt,132.8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8" style="position:absolute;left:0;text-align:left;z-index:-251593728;mso-position-horizontal-relative:page;mso-position-vertical-relative:page" from="66.5pt,671.9pt" to="545.45pt,671.9pt" o:allowincell="f" strokeweight="1.5pt">
            <w10:wrap anchorx="page" anchory="page"/>
          </v:line>
        </w:pic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5" w:name="Pg6"/>
      <w:bookmarkEnd w:id="5"/>
      <w:r>
        <w:rPr>
          <w:color w:val="000000"/>
          <w:w w:val="103"/>
          <w:sz w:val="20"/>
        </w:rPr>
        <w:lastRenderedPageBreak/>
        <w:t xml:space="preserve">Page 6 of 7 </w:t>
      </w:r>
    </w:p>
    <w:p w:rsidR="009E1284" w:rsidRDefault="005D7955">
      <w:pPr>
        <w:pStyle w:val="Normal1"/>
        <w:spacing w:line="180" w:lineRule="exact"/>
        <w:ind w:left="3052"/>
        <w:rPr>
          <w:color w:val="000000"/>
          <w:sz w:val="20"/>
        </w:rPr>
      </w:pPr>
      <w:r>
        <w:rPr>
          <w:color w:val="000000"/>
          <w:sz w:val="20"/>
        </w:rPr>
        <w:t xml:space="preserve">686 F.3d 1055, *1059; 2012 U.S. App. LEXIS 14264, **7 </w:t>
      </w:r>
    </w:p>
    <w:p w:rsidR="009E1284" w:rsidRDefault="009E1284">
      <w:pPr>
        <w:pStyle w:val="Normal1"/>
        <w:spacing w:line="260" w:lineRule="exact"/>
        <w:ind w:left="610"/>
        <w:rPr>
          <w:color w:val="000000"/>
          <w:sz w:val="20"/>
        </w:rPr>
      </w:pPr>
    </w:p>
    <w:p w:rsidR="009E1284" w:rsidRDefault="005D7955">
      <w:pPr>
        <w:pStyle w:val="Normal1"/>
        <w:tabs>
          <w:tab w:val="left" w:leader="dot" w:pos="5903"/>
        </w:tabs>
        <w:spacing w:before="26" w:line="260" w:lineRule="exact"/>
        <w:ind w:left="610" w:right="570"/>
        <w:rPr>
          <w:color w:val="000000"/>
          <w:w w:val="101"/>
        </w:rPr>
      </w:pPr>
      <w:r>
        <w:rPr>
          <w:color w:val="000000"/>
        </w:rPr>
        <w:t>port for the TILA amendments that added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subsection (f)</w:t>
      </w:r>
      <w:r>
        <w:rPr>
          <w:color w:val="000000"/>
        </w:rPr>
        <w:t xml:space="preserve"> explained,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 number of recent con-</w:t>
      </w:r>
      <w:r>
        <w:rPr>
          <w:color w:val="000000"/>
        </w:rPr>
        <w:br/>
      </w:r>
      <w:proofErr w:type="spellStart"/>
      <w:r>
        <w:rPr>
          <w:color w:val="000000"/>
        </w:rPr>
        <w:t>sumer</w:t>
      </w:r>
      <w:proofErr w:type="spellEnd"/>
      <w:r>
        <w:rPr>
          <w:color w:val="000000"/>
        </w:rPr>
        <w:t xml:space="preserve"> lawsuits against mortgage loan servicers have claimed the servicer is an assignee of the </w:t>
      </w:r>
      <w:r>
        <w:rPr>
          <w:color w:val="000000"/>
        </w:rPr>
        <w:br/>
      </w:r>
      <w:r>
        <w:rPr>
          <w:color w:val="000000"/>
          <w:w w:val="101"/>
        </w:rPr>
        <w:t>creditor who</w:t>
      </w:r>
      <w:r>
        <w:rPr>
          <w:color w:val="000000"/>
          <w:w w:val="101"/>
        </w:rPr>
        <w:t xml:space="preserve"> made the loan and is therefore liable</w:t>
      </w:r>
      <w:r>
        <w:rPr>
          <w:color w:val="000000"/>
        </w:rPr>
        <w:tab/>
        <w:t xml:space="preserve"> </w:t>
      </w:r>
      <w:r>
        <w:rPr>
          <w:color w:val="000000"/>
          <w:w w:val="101"/>
        </w:rPr>
        <w:t xml:space="preserve">This provision clarifies that the loan </w:t>
      </w:r>
      <w:proofErr w:type="spellStart"/>
      <w:r>
        <w:rPr>
          <w:color w:val="000000"/>
          <w:w w:val="101"/>
        </w:rPr>
        <w:t>ser</w:t>
      </w:r>
      <w:proofErr w:type="spellEnd"/>
      <w:r>
        <w:rPr>
          <w:color w:val="000000"/>
          <w:w w:val="101"/>
        </w:rPr>
        <w:t>-</w:t>
      </w:r>
    </w:p>
    <w:p w:rsidR="009E1284" w:rsidRDefault="005D7955">
      <w:pPr>
        <w:pStyle w:val="Normal1"/>
        <w:spacing w:line="260" w:lineRule="exact"/>
        <w:ind w:left="610" w:right="349"/>
        <w:rPr>
          <w:color w:val="000000"/>
        </w:rPr>
      </w:pPr>
      <w:proofErr w:type="spellStart"/>
      <w:r>
        <w:rPr>
          <w:color w:val="000000"/>
          <w:spacing w:val="-3"/>
        </w:rPr>
        <w:t>vicer</w:t>
      </w:r>
      <w:proofErr w:type="spellEnd"/>
      <w:r>
        <w:rPr>
          <w:color w:val="000000"/>
          <w:spacing w:val="-3"/>
        </w:rPr>
        <w:t xml:space="preserve"> (the entity collecting payments from the consumer and otherwise administering the loan) is not </w:t>
      </w:r>
      <w:r>
        <w:rPr>
          <w:color w:val="000000"/>
        </w:rPr>
        <w:t xml:space="preserve">an ’assignee’ under the TILA unless the servicer is the owner of the </w:t>
      </w:r>
      <w:r>
        <w:rPr>
          <w:color w:val="000000"/>
        </w:rPr>
        <w:t>loan obligation.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H. R. </w:t>
      </w:r>
      <w:r>
        <w:rPr>
          <w:color w:val="000000"/>
        </w:rPr>
        <w:br/>
        <w:t xml:space="preserve">Rep. No. 104-193, at 99 (1995). </w:t>
      </w:r>
    </w:p>
    <w:p w:rsidR="009E1284" w:rsidRDefault="005D7955">
      <w:pPr>
        <w:pStyle w:val="Normal1"/>
        <w:spacing w:before="260" w:line="260" w:lineRule="exact"/>
        <w:ind w:left="610" w:right="398"/>
        <w:rPr>
          <w:color w:val="000000"/>
          <w:spacing w:val="-1"/>
        </w:rPr>
      </w:pPr>
      <w:r>
        <w:rPr>
          <w:color w:val="000000"/>
        </w:rPr>
        <w:t>However, Congress did not intend that all servicers who owned loans would be liable as assign-</w:t>
      </w:r>
      <w:r>
        <w:rPr>
          <w:color w:val="000000"/>
        </w:rPr>
        <w:br/>
      </w:r>
      <w:proofErr w:type="spellStart"/>
      <w:r>
        <w:rPr>
          <w:color w:val="000000"/>
          <w:spacing w:val="-1"/>
        </w:rPr>
        <w:t>ees</w:t>
      </w:r>
      <w:proofErr w:type="spellEnd"/>
      <w:r>
        <w:rPr>
          <w:color w:val="000000"/>
          <w:spacing w:val="-1"/>
        </w:rPr>
        <w:t>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Paragraph (f)(2)</w:t>
      </w:r>
      <w:r>
        <w:rPr>
          <w:color w:val="000000"/>
          <w:spacing w:val="-1"/>
        </w:rPr>
        <w:t xml:space="preserve"> carves out an exception to the general rule of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paragraph (f)(1)</w:t>
      </w:r>
      <w:r>
        <w:rPr>
          <w:color w:val="000000"/>
          <w:spacing w:val="-1"/>
        </w:rPr>
        <w:t xml:space="preserve">, so that </w:t>
      </w:r>
      <w:proofErr w:type="spellStart"/>
      <w:r>
        <w:rPr>
          <w:color w:val="000000"/>
          <w:spacing w:val="-1"/>
        </w:rPr>
        <w:t>ser</w:t>
      </w:r>
      <w:proofErr w:type="spellEnd"/>
      <w:r>
        <w:rPr>
          <w:color w:val="000000"/>
          <w:spacing w:val="-1"/>
        </w:rPr>
        <w:t>-</w:t>
      </w:r>
      <w:r>
        <w:rPr>
          <w:color w:val="000000"/>
          <w:spacing w:val="-1"/>
        </w:rPr>
        <w:br/>
      </w:r>
      <w:proofErr w:type="spellStart"/>
      <w:r>
        <w:rPr>
          <w:color w:val="000000"/>
          <w:spacing w:val="-1"/>
        </w:rPr>
        <w:t>vicers</w:t>
      </w:r>
      <w:proofErr w:type="spellEnd"/>
      <w:r>
        <w:rPr>
          <w:color w:val="000000"/>
          <w:spacing w:val="-1"/>
        </w:rPr>
        <w:t xml:space="preserve"> who are merely nominal assignees (that is, when a servicer </w:t>
      </w:r>
      <w:r>
        <w:rPr>
          <w:rFonts w:ascii="Times New Roman Bold" w:hAnsi="Times New Roman Bold"/>
          <w:color w:val="000000"/>
          <w:spacing w:val="-1"/>
        </w:rPr>
        <w:t>[**9]</w:t>
      </w:r>
      <w:r>
        <w:rPr>
          <w:color w:val="000000"/>
          <w:spacing w:val="-1"/>
        </w:rPr>
        <w:t xml:space="preserve"> is assigned ownership of </w:t>
      </w:r>
    </w:p>
    <w:p w:rsidR="009E1284" w:rsidRDefault="005D7955">
      <w:pPr>
        <w:pStyle w:val="Normal1"/>
        <w:spacing w:line="260" w:lineRule="exact"/>
        <w:ind w:left="610" w:right="594"/>
        <w:jc w:val="both"/>
        <w:rPr>
          <w:color w:val="000000"/>
          <w:w w:val="102"/>
        </w:rPr>
      </w:pPr>
      <w:r>
        <w:rPr>
          <w:color w:val="000000"/>
        </w:rPr>
        <w:t>the loan solely for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administrative convenience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 would not be liable on the same basis as ac-</w:t>
      </w:r>
      <w:r>
        <w:rPr>
          <w:color w:val="000000"/>
        </w:rPr>
        <w:br/>
      </w:r>
      <w:proofErr w:type="spellStart"/>
      <w:r>
        <w:rPr>
          <w:color w:val="000000"/>
          <w:w w:val="102"/>
        </w:rPr>
        <w:t>tual</w:t>
      </w:r>
      <w:proofErr w:type="spellEnd"/>
      <w:r>
        <w:rPr>
          <w:color w:val="000000"/>
          <w:w w:val="102"/>
        </w:rPr>
        <w:t xml:space="preserve"> owners of the loan. The paragraph ends with the sentence t</w:t>
      </w:r>
      <w:r>
        <w:rPr>
          <w:color w:val="000000"/>
          <w:w w:val="102"/>
        </w:rPr>
        <w:t xml:space="preserve">hat is the basis of Gale’s claim, </w:t>
      </w:r>
      <w:r>
        <w:rPr>
          <w:color w:val="000000"/>
          <w:w w:val="102"/>
        </w:rPr>
        <w:br/>
        <w:t>which places on</w:t>
      </w:r>
      <w:r>
        <w:rPr>
          <w:rFonts w:ascii="Symbol" w:hAnsi="Symbol"/>
          <w:color w:val="000000"/>
          <w:w w:val="102"/>
        </w:rPr>
        <w:t></w:t>
      </w:r>
      <w:r>
        <w:rPr>
          <w:rFonts w:ascii="Symbol" w:hAnsi="Symbol"/>
          <w:color w:val="000000"/>
          <w:w w:val="102"/>
        </w:rPr>
        <w:t></w:t>
      </w:r>
      <w:r>
        <w:rPr>
          <w:color w:val="000000"/>
          <w:w w:val="102"/>
        </w:rPr>
        <w:t>the servicer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 the duty to respond to correspondence from the consumer. </w:t>
      </w:r>
    </w:p>
    <w:p w:rsidR="009E1284" w:rsidRDefault="005D7955">
      <w:pPr>
        <w:pStyle w:val="Normal1"/>
        <w:spacing w:before="260" w:line="260" w:lineRule="exact"/>
        <w:ind w:left="610" w:right="500"/>
        <w:jc w:val="both"/>
        <w:rPr>
          <w:color w:val="000000"/>
        </w:rPr>
      </w:pPr>
      <w:r>
        <w:rPr>
          <w:color w:val="000000"/>
        </w:rPr>
        <w:t xml:space="preserve">Read in this context, our analysis of this last sentence is straightforward. As a logical matter, it </w:t>
      </w:r>
      <w:r>
        <w:rPr>
          <w:color w:val="000000"/>
          <w:w w:val="104"/>
        </w:rPr>
        <w:t>would be anomalous for Congress</w:t>
      </w:r>
      <w:r>
        <w:rPr>
          <w:color w:val="000000"/>
          <w:w w:val="104"/>
        </w:rPr>
        <w:t xml:space="preserve"> to randomly impose a duty on servicers in general in a sec</w:t>
      </w:r>
      <w:r>
        <w:rPr>
          <w:color w:val="000000"/>
        </w:rPr>
        <w:t xml:space="preserve">tion otherwise completely devoted to describing the duties of assignees, and more critically, in a subsection that pertains only to servicer-assignees. </w:t>
      </w:r>
    </w:p>
    <w:p w:rsidR="009E1284" w:rsidRDefault="005D7955">
      <w:pPr>
        <w:pStyle w:val="Normal1"/>
        <w:spacing w:before="200" w:line="260" w:lineRule="exact"/>
        <w:ind w:left="610" w:right="398"/>
        <w:rPr>
          <w:color w:val="000000"/>
        </w:rPr>
      </w:pPr>
      <w:r>
        <w:rPr>
          <w:color w:val="000000"/>
        </w:rPr>
        <w:t>Close scrutiny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paragraph f(2)</w:t>
      </w:r>
      <w:r>
        <w:rPr>
          <w:color w:val="000000"/>
        </w:rPr>
        <w:t xml:space="preserve"> supports t</w:t>
      </w:r>
      <w:r>
        <w:rPr>
          <w:color w:val="000000"/>
        </w:rPr>
        <w:t xml:space="preserve">he same reading. The paragraph begins by addressing </w:t>
      </w:r>
      <w:r>
        <w:rPr>
          <w:color w:val="000000"/>
        </w:rPr>
        <w:br/>
        <w:t>the duties of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[a] servicer of a consumer obligation.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The next sentence, on which Gale states </w:t>
      </w:r>
      <w:r>
        <w:rPr>
          <w:color w:val="000000"/>
        </w:rPr>
        <w:br/>
        <w:t>his claim, imposes a duty to respond not upon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servicer, or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any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servicer, but rather, states that </w:t>
      </w:r>
      <w:r>
        <w:rPr>
          <w:color w:val="000000"/>
        </w:rPr>
        <w:br/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00"/>
        </w:rPr>
        <w:t>the</w:t>
      </w:r>
      <w:r>
        <w:rPr>
          <w:color w:val="000000"/>
        </w:rPr>
        <w:t xml:space="preserve"> servicer shall provide the obligor, to the best knowledge of</w:t>
      </w:r>
      <w:r>
        <w:rPr>
          <w:rFonts w:ascii="Times New Roman Italic" w:hAnsi="Times New Roman Italic"/>
          <w:color w:val="000000"/>
        </w:rPr>
        <w:t xml:space="preserve"> the</w:t>
      </w:r>
      <w:r>
        <w:rPr>
          <w:color w:val="000000"/>
        </w:rPr>
        <w:t xml:space="preserve"> servicer, with the name, ad-</w:t>
      </w:r>
      <w:r>
        <w:rPr>
          <w:color w:val="000000"/>
        </w:rPr>
        <w:br/>
        <w:t>dress, and telephone number of the owner.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(Emphasis added.)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In construing [a] statute, [the] </w:t>
      </w:r>
      <w:r>
        <w:rPr>
          <w:color w:val="000000"/>
        </w:rPr>
        <w:br/>
        <w:t>definite article ’the’ particularizes the subject which it pre</w:t>
      </w:r>
      <w:r>
        <w:rPr>
          <w:color w:val="000000"/>
        </w:rPr>
        <w:t xml:space="preserve">cedes and </w:t>
      </w:r>
      <w:r>
        <w:rPr>
          <w:rFonts w:ascii="Times New Roman Bold" w:hAnsi="Times New Roman Bold"/>
          <w:color w:val="000000"/>
        </w:rPr>
        <w:t>[**10]</w:t>
      </w:r>
      <w:r>
        <w:rPr>
          <w:color w:val="000000"/>
        </w:rPr>
        <w:t xml:space="preserve"> is [a] word of </w:t>
      </w:r>
      <w:proofErr w:type="spellStart"/>
      <w:r>
        <w:rPr>
          <w:color w:val="000000"/>
        </w:rPr>
        <w:t>limita</w:t>
      </w:r>
      <w:proofErr w:type="spellEnd"/>
      <w:r>
        <w:rPr>
          <w:color w:val="000000"/>
        </w:rPr>
        <w:t>-</w:t>
      </w:r>
    </w:p>
    <w:p w:rsidR="009E1284" w:rsidRDefault="005D7955">
      <w:pPr>
        <w:pStyle w:val="Normal1"/>
        <w:spacing w:line="260" w:lineRule="exact"/>
        <w:ind w:left="610" w:right="399"/>
        <w:rPr>
          <w:color w:val="000000"/>
        </w:rPr>
      </w:pPr>
      <w:proofErr w:type="spellStart"/>
      <w:r>
        <w:rPr>
          <w:color w:val="000000"/>
        </w:rPr>
        <w:t>tion</w:t>
      </w:r>
      <w:proofErr w:type="spellEnd"/>
      <w:r>
        <w:rPr>
          <w:color w:val="000000"/>
        </w:rPr>
        <w:t xml:space="preserve"> as opposed to [the] indefinite or generalizing force [of] ’a’ or ’an.’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Onink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v. </w:t>
      </w:r>
      <w:proofErr w:type="spellStart"/>
      <w:r>
        <w:rPr>
          <w:rFonts w:ascii="Times New Roman Italic" w:hAnsi="Times New Roman Italic"/>
          <w:color w:val="0000FF"/>
          <w:u w:val="single"/>
        </w:rPr>
        <w:t>Cardelucci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br/>
        <w:t xml:space="preserve">(In re </w:t>
      </w:r>
      <w:proofErr w:type="spellStart"/>
      <w:r>
        <w:rPr>
          <w:rFonts w:ascii="Times New Roman Italic" w:hAnsi="Times New Roman Italic"/>
          <w:color w:val="0000FF"/>
          <w:u w:val="single"/>
        </w:rPr>
        <w:t>Cardelucci</w:t>
      </w:r>
      <w:proofErr w:type="spellEnd"/>
      <w:r>
        <w:rPr>
          <w:rFonts w:ascii="Times New Roman Italic" w:hAnsi="Times New Roman Italic"/>
          <w:color w:val="0000FF"/>
          <w:u w:val="single"/>
        </w:rPr>
        <w:t>)</w:t>
      </w:r>
      <w:r>
        <w:rPr>
          <w:color w:val="0000FF"/>
          <w:u w:val="single"/>
        </w:rPr>
        <w:t xml:space="preserve"> , 285 F.3d 1231, 1234 (9th Cir. 2002)</w:t>
      </w:r>
      <w:r>
        <w:rPr>
          <w:color w:val="000000"/>
        </w:rPr>
        <w:t xml:space="preserve"> (quoting Black’s Law Dictionary 1477 </w:t>
      </w:r>
      <w:r>
        <w:rPr>
          <w:color w:val="000000"/>
        </w:rPr>
        <w:br/>
        <w:t xml:space="preserve">(6th ed. 1990)). The </w:t>
      </w:r>
      <w:r>
        <w:rPr>
          <w:color w:val="000000"/>
        </w:rPr>
        <w:t>use of the definite article in referring to the servicer only makes sense by ref-</w:t>
      </w:r>
      <w:r>
        <w:rPr>
          <w:color w:val="000000"/>
        </w:rPr>
        <w:br/>
      </w:r>
      <w:proofErr w:type="spellStart"/>
      <w:r>
        <w:rPr>
          <w:color w:val="000000"/>
        </w:rPr>
        <w:t>erence</w:t>
      </w:r>
      <w:proofErr w:type="spellEnd"/>
      <w:r>
        <w:rPr>
          <w:color w:val="000000"/>
        </w:rPr>
        <w:t xml:space="preserve"> to the preceding sentence </w:t>
      </w:r>
      <w:r>
        <w:rPr>
          <w:rFonts w:ascii="Times New Roman Bold" w:hAnsi="Times New Roman Bold"/>
          <w:color w:val="000000"/>
        </w:rPr>
        <w:t>[*1060]</w:t>
      </w:r>
      <w:r>
        <w:rPr>
          <w:color w:val="000000"/>
        </w:rPr>
        <w:t xml:space="preserve"> 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paragraph (f)(2)</w:t>
      </w:r>
      <w:r>
        <w:rPr>
          <w:color w:val="000000"/>
        </w:rPr>
        <w:t>, which relates to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[</w:t>
      </w:r>
      <w:r>
        <w:rPr>
          <w:rFonts w:ascii="Times New Roman Italic" w:hAnsi="Times New Roman Italic"/>
          <w:color w:val="000000"/>
        </w:rPr>
        <w:t>a</w:t>
      </w:r>
      <w:r>
        <w:rPr>
          <w:color w:val="000000"/>
        </w:rPr>
        <w:t xml:space="preserve">] servicer of </w:t>
      </w:r>
    </w:p>
    <w:p w:rsidR="009E1284" w:rsidRDefault="005D7955">
      <w:pPr>
        <w:pStyle w:val="Normal1"/>
        <w:spacing w:line="260" w:lineRule="exact"/>
        <w:ind w:left="610" w:right="398"/>
        <w:rPr>
          <w:color w:val="000000"/>
        </w:rPr>
      </w:pPr>
      <w:r>
        <w:rPr>
          <w:color w:val="000000"/>
          <w:w w:val="105"/>
        </w:rPr>
        <w:t>a consumer obligation</w:t>
      </w:r>
      <w:r>
        <w:rPr>
          <w:rFonts w:ascii="Symbol" w:hAnsi="Symbol"/>
          <w:color w:val="000000"/>
          <w:w w:val="105"/>
        </w:rPr>
        <w:sym w:font="Symbol" w:char="F0B2"/>
      </w:r>
      <w:r>
        <w:rPr>
          <w:color w:val="000000"/>
          <w:w w:val="105"/>
        </w:rPr>
        <w:t xml:space="preserve"> who is a nominal owner</w:t>
      </w:r>
      <w:r>
        <w:rPr>
          <w:rFonts w:ascii="Symbol" w:hAnsi="Symbol"/>
          <w:color w:val="000000"/>
          <w:w w:val="105"/>
        </w:rPr>
        <w:t></w:t>
      </w:r>
      <w:r>
        <w:rPr>
          <w:rFonts w:ascii="Symbol" w:hAnsi="Symbol"/>
          <w:color w:val="000000"/>
          <w:w w:val="105"/>
        </w:rPr>
        <w:t></w:t>
      </w:r>
      <w:r>
        <w:rPr>
          <w:color w:val="000000"/>
          <w:w w:val="105"/>
        </w:rPr>
        <w:t>on the basis of an</w:t>
      </w:r>
      <w:r>
        <w:rPr>
          <w:rFonts w:ascii="Times New Roman Italic" w:hAnsi="Times New Roman Italic"/>
          <w:color w:val="000000"/>
          <w:w w:val="105"/>
        </w:rPr>
        <w:t xml:space="preserve"> assignment</w:t>
      </w:r>
      <w:r>
        <w:rPr>
          <w:color w:val="000000"/>
          <w:w w:val="105"/>
        </w:rPr>
        <w:t xml:space="preserve"> of the obliga</w:t>
      </w:r>
      <w:r>
        <w:rPr>
          <w:color w:val="000000"/>
        </w:rPr>
        <w:t>tion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for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administrative convenience.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(Emphases added.) Such a servicer escapes liability because it is only a nominal owner of the note, but must still respond to an obligor seeking information as to the true owner of the note. </w:t>
      </w:r>
    </w:p>
    <w:p w:rsidR="009E1284" w:rsidRDefault="005D7955">
      <w:pPr>
        <w:pStyle w:val="Normal1"/>
        <w:spacing w:before="240" w:line="260" w:lineRule="exact"/>
        <w:ind w:left="610" w:right="571"/>
        <w:jc w:val="both"/>
        <w:rPr>
          <w:color w:val="000000"/>
        </w:rPr>
      </w:pPr>
      <w:r>
        <w:rPr>
          <w:color w:val="000000"/>
          <w:w w:val="102"/>
        </w:rPr>
        <w:t xml:space="preserve">In short, reading the statute as a whole and with respect to the subsection at issue brings us to </w:t>
      </w:r>
      <w:r>
        <w:rPr>
          <w:color w:val="000000"/>
          <w:w w:val="104"/>
        </w:rPr>
        <w:t>the same conclusion: the duty to provide notice under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§ 1641(f)(2)</w:t>
      </w:r>
      <w:r>
        <w:rPr>
          <w:color w:val="000000"/>
          <w:w w:val="104"/>
        </w:rPr>
        <w:t xml:space="preserve"> applies only to a </w:t>
      </w:r>
      <w:proofErr w:type="spellStart"/>
      <w:r>
        <w:rPr>
          <w:color w:val="000000"/>
          <w:w w:val="104"/>
        </w:rPr>
        <w:t>servicer</w:t>
      </w:r>
      <w:r>
        <w:rPr>
          <w:color w:val="000000"/>
        </w:rPr>
        <w:t>assignee</w:t>
      </w:r>
      <w:proofErr w:type="spellEnd"/>
      <w:r>
        <w:rPr>
          <w:color w:val="000000"/>
        </w:rPr>
        <w:t xml:space="preserve">, which in this case does not include Franklin. </w:t>
      </w:r>
    </w:p>
    <w:p w:rsidR="009E1284" w:rsidRDefault="005D7955">
      <w:pPr>
        <w:pStyle w:val="Normal1"/>
        <w:spacing w:before="200" w:line="260" w:lineRule="exact"/>
        <w:ind w:left="610" w:right="376"/>
        <w:jc w:val="both"/>
        <w:rPr>
          <w:color w:val="0000FF"/>
          <w:spacing w:val="-4"/>
          <w:u w:val="single"/>
        </w:rPr>
      </w:pPr>
      <w:r>
        <w:rPr>
          <w:color w:val="000000"/>
          <w:spacing w:val="-1"/>
        </w:rPr>
        <w:t xml:space="preserve">Gale </w:t>
      </w:r>
      <w:r>
        <w:rPr>
          <w:color w:val="000000"/>
          <w:spacing w:val="-1"/>
        </w:rPr>
        <w:t>argues for the first time on appeal that Franklin violated RESPA.</w:t>
      </w:r>
      <w:r>
        <w:rPr>
          <w:rFonts w:ascii="Times New Roman Bold Italic" w:hAnsi="Times New Roman Bold Italic"/>
          <w:color w:val="000000"/>
          <w:spacing w:val="-1"/>
        </w:rPr>
        <w:t xml:space="preserve"> HN6</w:t>
      </w:r>
      <w:r>
        <w:rPr>
          <w:color w:val="000000"/>
          <w:spacing w:val="-1"/>
        </w:rPr>
        <w:t xml:space="preserve"> Although pro se plain-</w:t>
      </w:r>
      <w:r>
        <w:rPr>
          <w:color w:val="000000"/>
          <w:spacing w:val="-1"/>
        </w:rPr>
        <w:br/>
      </w:r>
      <w:r>
        <w:rPr>
          <w:color w:val="000000"/>
        </w:rPr>
        <w:t>tiffs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need not plead specific legal theories in the complaint,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we require that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the other side re-</w:t>
      </w:r>
      <w:r>
        <w:rPr>
          <w:color w:val="000000"/>
        </w:rPr>
        <w:br/>
      </w:r>
      <w:proofErr w:type="spellStart"/>
      <w:r>
        <w:rPr>
          <w:color w:val="000000"/>
          <w:spacing w:val="-2"/>
        </w:rPr>
        <w:t>ceive</w:t>
      </w:r>
      <w:proofErr w:type="spellEnd"/>
      <w:r>
        <w:rPr>
          <w:color w:val="000000"/>
          <w:spacing w:val="-2"/>
        </w:rPr>
        <w:t xml:space="preserve">[ ] notice as to what is at issue in </w:t>
      </w:r>
      <w:r>
        <w:rPr>
          <w:rFonts w:ascii="Times New Roman Bold" w:hAnsi="Times New Roman Bold"/>
          <w:color w:val="000000"/>
          <w:spacing w:val="-4"/>
        </w:rPr>
        <w:t>[**11]</w:t>
      </w:r>
      <w:r>
        <w:rPr>
          <w:color w:val="000000"/>
          <w:spacing w:val="-4"/>
        </w:rPr>
        <w:t xml:space="preserve"> the case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 xml:space="preserve"> against it.</w:t>
      </w:r>
      <w:r>
        <w:rPr>
          <w:rFonts w:ascii="Times New Roman Italic" w:hAnsi="Times New Roman Italic"/>
          <w:color w:val="0000FF"/>
          <w:spacing w:val="-4"/>
        </w:rPr>
        <w:t xml:space="preserve">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spacing w:val="-4"/>
          <w:u w:val="single"/>
        </w:rPr>
        <w:t>Sagana</w:t>
      </w:r>
      <w:proofErr w:type="spellEnd"/>
      <w:r>
        <w:rPr>
          <w:rFonts w:ascii="Times New Roman Italic" w:hAnsi="Times New Roman Italic"/>
          <w:color w:val="0000FF"/>
          <w:spacing w:val="-4"/>
          <w:u w:val="single"/>
        </w:rPr>
        <w:t xml:space="preserve"> v. </w:t>
      </w:r>
      <w:proofErr w:type="spellStart"/>
      <w:r>
        <w:rPr>
          <w:rFonts w:ascii="Times New Roman Italic" w:hAnsi="Times New Roman Italic"/>
          <w:color w:val="0000FF"/>
          <w:spacing w:val="-4"/>
          <w:u w:val="single"/>
        </w:rPr>
        <w:t>Tenorio</w:t>
      </w:r>
      <w:proofErr w:type="spellEnd"/>
      <w:r>
        <w:rPr>
          <w:color w:val="0000FF"/>
          <w:spacing w:val="-4"/>
          <w:u w:val="single"/>
        </w:rPr>
        <w:t xml:space="preserve"> , 384 F.3d 731, </w:t>
      </w:r>
    </w:p>
    <w:p w:rsidR="009E1284" w:rsidRDefault="005D7955">
      <w:pPr>
        <w:pStyle w:val="Normal1"/>
        <w:spacing w:line="260" w:lineRule="exact"/>
        <w:ind w:left="610" w:right="404"/>
        <w:rPr>
          <w:color w:val="000000"/>
          <w:spacing w:val="-1"/>
        </w:rPr>
      </w:pPr>
      <w:r>
        <w:rPr>
          <w:color w:val="0000FF"/>
          <w:u w:val="single"/>
        </w:rPr>
        <w:t>736-37 (9th Cir. 2004)</w:t>
      </w:r>
      <w:r>
        <w:rPr>
          <w:color w:val="000000"/>
        </w:rPr>
        <w:t xml:space="preserve"> (internal quotation marks and citation omitted). Gale did not merely fail to plead a RESPA claim against Franklin, but advanced a RESPA claim against a different defendant, Cal-Western</w:t>
      </w:r>
      <w:r>
        <w:rPr>
          <w:color w:val="000000"/>
        </w:rPr>
        <w:t>. We therefore decline to consider the RESPA claim.</w:t>
      </w:r>
      <w:r>
        <w:rPr>
          <w:rFonts w:ascii="Times New Roman Italic" w:hAnsi="Times New Roman Italic"/>
          <w:color w:val="000000"/>
        </w:rPr>
        <w:t xml:space="preserve">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In re Am. W. Air-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lines, </w:t>
      </w:r>
      <w:proofErr w:type="spellStart"/>
      <w:r>
        <w:rPr>
          <w:rFonts w:ascii="Times New Roman Italic" w:hAnsi="Times New Roman Italic"/>
          <w:color w:val="0000FF"/>
          <w:spacing w:val="-1"/>
          <w:u w:val="single"/>
        </w:rPr>
        <w:t>Inc</w:t>
      </w:r>
      <w:proofErr w:type="spellEnd"/>
      <w:r>
        <w:rPr>
          <w:color w:val="0000FF"/>
          <w:spacing w:val="-1"/>
          <w:u w:val="single"/>
        </w:rPr>
        <w:t xml:space="preserve"> ., 217 F.3d 1161, 1165 (9th Cir. 2000)</w:t>
      </w:r>
      <w:r>
        <w:rPr>
          <w:color w:val="000000"/>
          <w:spacing w:val="-1"/>
        </w:rPr>
        <w:t xml:space="preserve">. </w:t>
      </w:r>
    </w:p>
    <w:p w:rsidR="009E1284" w:rsidRDefault="005D7955">
      <w:pPr>
        <w:pStyle w:val="Normal1"/>
        <w:spacing w:before="247" w:line="276" w:lineRule="exact"/>
        <w:ind w:left="610"/>
        <w:rPr>
          <w:color w:val="000000"/>
        </w:rPr>
      </w:pPr>
      <w:r>
        <w:rPr>
          <w:color w:val="000000"/>
        </w:rPr>
        <w:t xml:space="preserve">We are not unsympathetic to the frustration that resulted from Franklin’s failure to respond to </w:t>
      </w:r>
    </w:p>
    <w:p w:rsidR="009E1284" w:rsidRDefault="005D7955">
      <w:pPr>
        <w:pStyle w:val="Normal1"/>
        <w:spacing w:line="260" w:lineRule="exact"/>
        <w:ind w:left="610" w:right="368"/>
        <w:rPr>
          <w:color w:val="000000"/>
          <w:spacing w:val="-2"/>
        </w:rPr>
      </w:pPr>
      <w:r>
        <w:rPr>
          <w:color w:val="000000"/>
          <w:spacing w:val="-1"/>
        </w:rPr>
        <w:t xml:space="preserve">Gale’s inquiry regarding his </w:t>
      </w:r>
      <w:r>
        <w:rPr>
          <w:color w:val="000000"/>
          <w:spacing w:val="-1"/>
        </w:rPr>
        <w:t>home. The servicer is often the only entity that the consumer is in con-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tact with after the loan issues—unless the servicer is forthcoming, the homeowner may not </w:t>
      </w:r>
      <w:r>
        <w:rPr>
          <w:color w:val="000000"/>
        </w:rPr>
        <w:br/>
      </w:r>
      <w:r>
        <w:rPr>
          <w:color w:val="000000"/>
          <w:spacing w:val="-2"/>
        </w:rPr>
        <w:t>know with whom to negotiate to stave off foreclosure and loss of his abode. Although Congres</w:t>
      </w:r>
      <w:r>
        <w:rPr>
          <w:color w:val="000000"/>
          <w:spacing w:val="-2"/>
        </w:rPr>
        <w:t>s rec-</w:t>
      </w:r>
      <w:r>
        <w:rPr>
          <w:color w:val="000000"/>
          <w:spacing w:val="-2"/>
        </w:rPr>
        <w:br/>
      </w:r>
      <w:proofErr w:type="spellStart"/>
      <w:r>
        <w:rPr>
          <w:color w:val="000000"/>
          <w:spacing w:val="-2"/>
        </w:rPr>
        <w:t>ognized</w:t>
      </w:r>
      <w:proofErr w:type="spellEnd"/>
      <w:r>
        <w:rPr>
          <w:color w:val="000000"/>
          <w:spacing w:val="-2"/>
        </w:rPr>
        <w:t xml:space="preserve"> the importance of such information</w:t>
      </w:r>
      <w:r>
        <w:rPr>
          <w:rFonts w:ascii="Times New Roman Italic" w:hAnsi="Times New Roman Italic"/>
          <w:color w:val="000000"/>
          <w:spacing w:val="-2"/>
        </w:rPr>
        <w:t xml:space="preserve"> after</w:t>
      </w:r>
      <w:r>
        <w:rPr>
          <w:color w:val="000000"/>
          <w:spacing w:val="-2"/>
        </w:rPr>
        <w:t xml:space="preserve"> Gale’s claim accrued,</w:t>
      </w:r>
      <w:r>
        <w:rPr>
          <w:rFonts w:ascii="Times New Roman Italic" w:hAnsi="Times New Roman Italic"/>
          <w:color w:val="000000"/>
          <w:spacing w:val="-2"/>
        </w:rPr>
        <w:t xml:space="preserve"> see</w:t>
      </w:r>
      <w:r>
        <w:rPr>
          <w:color w:val="000000"/>
          <w:spacing w:val="-2"/>
        </w:rPr>
        <w:t xml:space="preserve"> Dodd-Frank Wall 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</w:rPr>
      </w:pPr>
    </w:p>
    <w:p w:rsidR="009E1284" w:rsidRDefault="005D7955">
      <w:pPr>
        <w:pStyle w:val="Normal1"/>
        <w:spacing w:before="53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9E1284" w:rsidRDefault="009E1284">
      <w:pPr>
        <w:pStyle w:val="Normal1"/>
        <w:rPr>
          <w:color w:val="000000"/>
          <w:spacing w:val="-1"/>
          <w:sz w:val="20"/>
        </w:rPr>
        <w:sectPr w:rsidR="009E1284">
          <w:pgSz w:w="12220" w:h="15820"/>
          <w:pgMar w:top="720" w:right="720" w:bottom="720" w:left="720" w:header="720" w:footer="720" w:gutter="0"/>
          <w:cols w:space="720"/>
        </w:sectPr>
      </w:pPr>
    </w:p>
    <w:p w:rsidR="009E1284" w:rsidRDefault="005D7955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6" w:name="Pg7"/>
      <w:bookmarkEnd w:id="6"/>
      <w:r>
        <w:rPr>
          <w:color w:val="000000"/>
          <w:w w:val="103"/>
          <w:sz w:val="20"/>
        </w:rPr>
        <w:lastRenderedPageBreak/>
        <w:t xml:space="preserve">Page 7 of 7 </w:t>
      </w:r>
    </w:p>
    <w:p w:rsidR="009E1284" w:rsidRDefault="005D7955">
      <w:pPr>
        <w:pStyle w:val="Normal1"/>
        <w:spacing w:line="180" w:lineRule="exact"/>
        <w:ind w:left="3006"/>
        <w:rPr>
          <w:color w:val="000000"/>
          <w:sz w:val="20"/>
        </w:rPr>
      </w:pPr>
      <w:r>
        <w:rPr>
          <w:color w:val="000000"/>
          <w:sz w:val="20"/>
        </w:rPr>
        <w:t xml:space="preserve">686 F.3d 1055, *1060; 2012 U.S. App. LEXIS 14264, **11 </w:t>
      </w:r>
    </w:p>
    <w:p w:rsidR="009E1284" w:rsidRDefault="009E1284">
      <w:pPr>
        <w:pStyle w:val="Normal1"/>
        <w:spacing w:line="260" w:lineRule="exact"/>
        <w:ind w:left="610"/>
        <w:rPr>
          <w:color w:val="000000"/>
          <w:sz w:val="20"/>
        </w:rPr>
      </w:pPr>
    </w:p>
    <w:p w:rsidR="009E1284" w:rsidRDefault="005D7955">
      <w:pPr>
        <w:pStyle w:val="Normal1"/>
        <w:spacing w:before="26" w:line="260" w:lineRule="exact"/>
        <w:ind w:left="610" w:right="395"/>
        <w:rPr>
          <w:color w:val="000000"/>
          <w:spacing w:val="-3"/>
        </w:rPr>
      </w:pPr>
      <w:r>
        <w:rPr>
          <w:color w:val="000000"/>
        </w:rPr>
        <w:t>Street Reform and Consumer Protection Act,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Pub. L. No. 111-203, § 1463, 124 Stat. 1376, 2182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(2010) </w:t>
      </w:r>
      <w:r>
        <w:rPr>
          <w:color w:val="000000"/>
        </w:rPr>
        <w:t xml:space="preserve">(amending RESPA to require all servicers to respond to requests for information), Gale </w:t>
      </w:r>
      <w:r>
        <w:rPr>
          <w:color w:val="000000"/>
        </w:rPr>
        <w:br/>
      </w:r>
      <w:r>
        <w:rPr>
          <w:color w:val="000000"/>
          <w:spacing w:val="-2"/>
        </w:rPr>
        <w:t>cannot claim liability under this provision and we affirm dismissal of his claims arising from Frank</w:t>
      </w:r>
      <w:r>
        <w:rPr>
          <w:color w:val="000000"/>
          <w:spacing w:val="-3"/>
        </w:rPr>
        <w:t>lin’s fail</w:t>
      </w:r>
      <w:r>
        <w:rPr>
          <w:color w:val="000000"/>
          <w:spacing w:val="-3"/>
        </w:rPr>
        <w:t xml:space="preserve">ure to respond. </w:t>
      </w:r>
    </w:p>
    <w:p w:rsidR="009E1284" w:rsidRDefault="005D7955">
      <w:pPr>
        <w:pStyle w:val="Normal1"/>
        <w:spacing w:before="247" w:line="276" w:lineRule="exact"/>
        <w:ind w:left="610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II. Nevada State Law Claims </w:t>
      </w:r>
    </w:p>
    <w:p w:rsidR="009E1284" w:rsidRDefault="005D7955">
      <w:pPr>
        <w:pStyle w:val="Normal1"/>
        <w:tabs>
          <w:tab w:val="left" w:pos="1222"/>
        </w:tabs>
        <w:spacing w:before="198" w:line="260" w:lineRule="exact"/>
        <w:ind w:left="610" w:right="398"/>
        <w:rPr>
          <w:color w:val="000000"/>
          <w:spacing w:val="-1"/>
        </w:rPr>
      </w:pPr>
      <w:r>
        <w:rPr>
          <w:color w:val="000000"/>
          <w:spacing w:val="-3"/>
        </w:rPr>
        <w:t xml:space="preserve">Gale </w:t>
      </w:r>
      <w:r>
        <w:rPr>
          <w:color w:val="000000"/>
          <w:spacing w:val="-3"/>
        </w:rPr>
        <w:tab/>
      </w:r>
      <w:r>
        <w:rPr>
          <w:rFonts w:ascii="Times New Roman Bold" w:hAnsi="Times New Roman Bold"/>
          <w:color w:val="000000"/>
        </w:rPr>
        <w:t>[**12]</w:t>
      </w:r>
      <w:r>
        <w:rPr>
          <w:color w:val="000000"/>
        </w:rPr>
        <w:t xml:space="preserve"> also advances numerous state law claims. The first claim again arises out of Franklin’s failure to respond, which, Gale alleges, violated the covenant of good faith and fair deal-</w:t>
      </w:r>
      <w:r>
        <w:rPr>
          <w:color w:val="000000"/>
        </w:rPr>
        <w:br/>
      </w:r>
      <w:proofErr w:type="spellStart"/>
      <w:r>
        <w:rPr>
          <w:color w:val="000000"/>
        </w:rPr>
        <w:t>ing</w:t>
      </w:r>
      <w:proofErr w:type="spellEnd"/>
      <w:r>
        <w:rPr>
          <w:color w:val="000000"/>
        </w:rPr>
        <w:t>. The remainin</w:t>
      </w:r>
      <w:r>
        <w:rPr>
          <w:color w:val="000000"/>
        </w:rPr>
        <w:t xml:space="preserve">g claims arise out of the actual foreclosure action against Gale. Gale argues that MERS and LaSalle wrongfully began foreclosure proceedings, and Cal-Western breached its </w:t>
      </w:r>
      <w:r>
        <w:rPr>
          <w:color w:val="000000"/>
        </w:rPr>
        <w:br/>
        <w:t>duty to act in good faith and its fiduciary duties in proceeding with the foreclosur</w:t>
      </w:r>
      <w:r>
        <w:rPr>
          <w:color w:val="000000"/>
        </w:rPr>
        <w:t xml:space="preserve">e. The district </w:t>
      </w:r>
      <w:r>
        <w:rPr>
          <w:color w:val="000000"/>
          <w:spacing w:val="-1"/>
        </w:rPr>
        <w:t xml:space="preserve">court dismissed these claims. </w:t>
      </w:r>
    </w:p>
    <w:p w:rsidR="009E1284" w:rsidRDefault="005D7955">
      <w:pPr>
        <w:pStyle w:val="Normal1"/>
        <w:spacing w:before="200" w:line="260" w:lineRule="exact"/>
        <w:ind w:left="610" w:right="404"/>
        <w:rPr>
          <w:color w:val="000000"/>
          <w:spacing w:val="-1"/>
        </w:rPr>
      </w:pPr>
      <w:r>
        <w:rPr>
          <w:rFonts w:ascii="Times New Roman Bold Italic" w:hAnsi="Times New Roman Bold Italic"/>
          <w:color w:val="000000"/>
          <w:w w:val="102"/>
        </w:rPr>
        <w:t>HN7</w:t>
      </w:r>
      <w:r>
        <w:rPr>
          <w:color w:val="000000"/>
          <w:w w:val="102"/>
        </w:rPr>
        <w:t xml:space="preserve"> To state a claim for breach of the covenant of good faith and fair dealing under Nevada </w:t>
      </w:r>
      <w:r>
        <w:rPr>
          <w:color w:val="000000"/>
          <w:w w:val="102"/>
        </w:rPr>
        <w:br/>
      </w:r>
      <w:r>
        <w:rPr>
          <w:color w:val="000000"/>
        </w:rPr>
        <w:t>law, Gale must show that Franklin acted in an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arbitrary or unfair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way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to the disadvantage of </w:t>
      </w:r>
      <w:r>
        <w:rPr>
          <w:color w:val="000000"/>
        </w:rPr>
        <w:br/>
      </w:r>
      <w:r>
        <w:rPr>
          <w:color w:val="000000"/>
          <w:w w:val="104"/>
        </w:rPr>
        <w:t>the</w:t>
      </w:r>
      <w:r>
        <w:rPr>
          <w:rFonts w:ascii="Symbol" w:hAnsi="Symbol"/>
          <w:color w:val="000000"/>
          <w:w w:val="104"/>
        </w:rPr>
        <w:sym w:font="Symbol" w:char="F0B2"/>
      </w:r>
      <w:r>
        <w:rPr>
          <w:color w:val="000000"/>
          <w:w w:val="104"/>
        </w:rPr>
        <w:t xml:space="preserve"> plaintiff.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Nelson v. </w:t>
      </w:r>
      <w:proofErr w:type="spellStart"/>
      <w:r>
        <w:rPr>
          <w:rFonts w:ascii="Times New Roman Italic" w:hAnsi="Times New Roman Italic"/>
          <w:color w:val="0000FF"/>
          <w:w w:val="104"/>
          <w:u w:val="single"/>
        </w:rPr>
        <w:t>Heer</w:t>
      </w:r>
      <w:proofErr w:type="spellEnd"/>
      <w:r>
        <w:rPr>
          <w:color w:val="0000FF"/>
          <w:w w:val="104"/>
          <w:u w:val="single"/>
        </w:rPr>
        <w:t xml:space="preserve"> , 123 Nev. 217, 163 P.3d 420, 426-27 (Nev. 2007)</w:t>
      </w:r>
      <w:r>
        <w:rPr>
          <w:color w:val="000000"/>
          <w:w w:val="104"/>
        </w:rPr>
        <w:t>. Failing to re-</w:t>
      </w:r>
      <w:r>
        <w:rPr>
          <w:color w:val="000000"/>
          <w:w w:val="104"/>
        </w:rPr>
        <w:br/>
      </w:r>
      <w:proofErr w:type="spellStart"/>
      <w:r>
        <w:rPr>
          <w:color w:val="000000"/>
          <w:spacing w:val="-3"/>
        </w:rPr>
        <w:t>spond</w:t>
      </w:r>
      <w:proofErr w:type="spellEnd"/>
      <w:r>
        <w:rPr>
          <w:color w:val="000000"/>
          <w:spacing w:val="-3"/>
        </w:rPr>
        <w:t xml:space="preserve"> to correspondence in this context hardly qualifies as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>arbitrary or unfair.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The rule Gale pro-</w:t>
      </w:r>
      <w:r>
        <w:rPr>
          <w:color w:val="000000"/>
          <w:spacing w:val="-3"/>
        </w:rPr>
        <w:br/>
      </w:r>
      <w:r>
        <w:rPr>
          <w:color w:val="000000"/>
          <w:w w:val="103"/>
        </w:rPr>
        <w:t xml:space="preserve">poses would require contracting parties to respond to correspondence on </w:t>
      </w:r>
      <w:r>
        <w:rPr>
          <w:color w:val="000000"/>
          <w:w w:val="103"/>
        </w:rPr>
        <w:t>the pain of legal pen-</w:t>
      </w:r>
      <w:r>
        <w:rPr>
          <w:color w:val="000000"/>
          <w:w w:val="103"/>
        </w:rPr>
        <w:br/>
      </w:r>
      <w:proofErr w:type="spellStart"/>
      <w:r>
        <w:rPr>
          <w:color w:val="000000"/>
        </w:rPr>
        <w:t>alty</w:t>
      </w:r>
      <w:proofErr w:type="spellEnd"/>
      <w:r>
        <w:rPr>
          <w:color w:val="000000"/>
        </w:rPr>
        <w:t xml:space="preserve">. In the absence of an express contractual provision to the contrary, we cannot hold Franklin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to such a standard. </w:t>
      </w:r>
    </w:p>
    <w:p w:rsidR="009E1284" w:rsidRDefault="005D7955">
      <w:pPr>
        <w:pStyle w:val="Normal1"/>
        <w:spacing w:before="200" w:line="260" w:lineRule="exact"/>
        <w:ind w:left="610" w:right="514"/>
        <w:jc w:val="both"/>
        <w:rPr>
          <w:color w:val="000000"/>
        </w:rPr>
      </w:pPr>
      <w:r>
        <w:rPr>
          <w:color w:val="000000"/>
        </w:rPr>
        <w:t>Gale points us to</w:t>
      </w:r>
      <w:r>
        <w:rPr>
          <w:rFonts w:ascii="Times New Roman Italic" w:hAnsi="Times New Roman Italic"/>
          <w:color w:val="000000"/>
        </w:rPr>
        <w:t xml:space="preserve"> Mitchell v. Bailey &amp; </w:t>
      </w:r>
      <w:proofErr w:type="spellStart"/>
      <w:r>
        <w:rPr>
          <w:rFonts w:ascii="Times New Roman Italic" w:hAnsi="Times New Roman Italic"/>
          <w:color w:val="000000"/>
        </w:rPr>
        <w:t>Selover</w:t>
      </w:r>
      <w:proofErr w:type="spellEnd"/>
      <w:r>
        <w:rPr>
          <w:rFonts w:ascii="Times New Roman Italic" w:hAnsi="Times New Roman Italic"/>
          <w:color w:val="000000"/>
        </w:rPr>
        <w:t>, Inc</w:t>
      </w:r>
      <w:r>
        <w:rPr>
          <w:color w:val="000000"/>
        </w:rPr>
        <w:t xml:space="preserve">., which involved a contract for transportation </w:t>
      </w:r>
      <w:r>
        <w:rPr>
          <w:color w:val="000000"/>
        </w:rPr>
        <w:br/>
      </w:r>
      <w:r>
        <w:rPr>
          <w:color w:val="000000"/>
        </w:rPr>
        <w:t xml:space="preserve">and storage of property that gave </w:t>
      </w:r>
      <w:r>
        <w:rPr>
          <w:rFonts w:ascii="Times New Roman Bold" w:hAnsi="Times New Roman Bold"/>
          <w:color w:val="000000"/>
        </w:rPr>
        <w:t>[**13]</w:t>
      </w:r>
      <w:r>
        <w:rPr>
          <w:color w:val="000000"/>
        </w:rPr>
        <w:t xml:space="preserve"> the </w:t>
      </w:r>
      <w:proofErr w:type="spellStart"/>
      <w:r>
        <w:rPr>
          <w:color w:val="000000"/>
        </w:rPr>
        <w:t>bailee</w:t>
      </w:r>
      <w:proofErr w:type="spellEnd"/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the right to sell [a customer’s] property </w:t>
      </w:r>
    </w:p>
    <w:p w:rsidR="009E1284" w:rsidRDefault="005D7955">
      <w:pPr>
        <w:pStyle w:val="Normal1"/>
        <w:spacing w:before="6" w:line="253" w:lineRule="exact"/>
        <w:ind w:left="610" w:right="398"/>
        <w:jc w:val="both"/>
        <w:rPr>
          <w:color w:val="000000"/>
          <w:spacing w:val="-1"/>
        </w:rPr>
      </w:pPr>
      <w:r>
        <w:rPr>
          <w:color w:val="000000"/>
        </w:rPr>
        <w:t>if, in the company’s opinion, such action was necessary to protect its accrued charges.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96 Nev. </w:t>
      </w:r>
      <w:r>
        <w:rPr>
          <w:rFonts w:ascii="Times New Roman Italic" w:hAnsi="Times New Roman Italic"/>
          <w:color w:val="0000FF"/>
          <w:u w:val="single"/>
        </w:rPr>
        <w:br/>
        <w:t>147, 605 P.2d 1138, 1139 (Nev. 1980)</w:t>
      </w:r>
      <w:r>
        <w:rPr>
          <w:color w:val="000000"/>
        </w:rPr>
        <w:t xml:space="preserve">. Although Mitchell </w:t>
      </w:r>
      <w:r>
        <w:rPr>
          <w:color w:val="000000"/>
        </w:rPr>
        <w:t xml:space="preserve">contacted the </w:t>
      </w:r>
      <w:proofErr w:type="spellStart"/>
      <w:r>
        <w:rPr>
          <w:color w:val="000000"/>
        </w:rPr>
        <w:t>bailee</w:t>
      </w:r>
      <w:proofErr w:type="spellEnd"/>
      <w:r>
        <w:rPr>
          <w:color w:val="000000"/>
        </w:rPr>
        <w:t xml:space="preserve"> and provided </w:t>
      </w:r>
      <w:proofErr w:type="spellStart"/>
      <w:r>
        <w:rPr>
          <w:color w:val="000000"/>
        </w:rPr>
        <w:t>evi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dence</w:t>
      </w:r>
      <w:proofErr w:type="spellEnd"/>
      <w:r>
        <w:rPr>
          <w:color w:val="000000"/>
        </w:rPr>
        <w:t xml:space="preserve"> that she was owed social security payments that would allow her to pay the debt, the </w:t>
      </w:r>
      <w:proofErr w:type="spellStart"/>
      <w:r>
        <w:rPr>
          <w:color w:val="000000"/>
        </w:rPr>
        <w:t>bai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lee sold her property nonetheless. </w:t>
      </w:r>
      <w:r>
        <w:rPr>
          <w:rFonts w:ascii="Times New Roman Bold" w:hAnsi="Times New Roman Bold"/>
          <w:color w:val="000000"/>
          <w:spacing w:val="-1"/>
        </w:rPr>
        <w:t>[*1061]</w:t>
      </w:r>
      <w:r>
        <w:rPr>
          <w:color w:val="000000"/>
          <w:spacing w:val="-1"/>
        </w:rPr>
        <w:t xml:space="preserve">  Because the </w:t>
      </w:r>
      <w:proofErr w:type="spellStart"/>
      <w:r>
        <w:rPr>
          <w:color w:val="000000"/>
          <w:spacing w:val="-1"/>
        </w:rPr>
        <w:t>bailee</w:t>
      </w:r>
      <w:proofErr w:type="spellEnd"/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knew that [Mitchell’s] inability to </w:t>
      </w:r>
    </w:p>
    <w:p w:rsidR="009E1284" w:rsidRDefault="005D7955">
      <w:pPr>
        <w:pStyle w:val="Normal1"/>
        <w:spacing w:before="5" w:line="25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pay her debt might </w:t>
      </w:r>
      <w:r>
        <w:rPr>
          <w:color w:val="000000"/>
          <w:w w:val="102"/>
        </w:rPr>
        <w:t>soon be remedied, and in fact was remedied,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 an issue of fact remained as </w:t>
      </w:r>
    </w:p>
    <w:p w:rsidR="009E1284" w:rsidRDefault="005D7955">
      <w:pPr>
        <w:pStyle w:val="Normal1"/>
        <w:spacing w:before="1" w:line="260" w:lineRule="exact"/>
        <w:ind w:left="610" w:right="399"/>
        <w:rPr>
          <w:color w:val="000000"/>
        </w:rPr>
      </w:pPr>
      <w:r>
        <w:rPr>
          <w:color w:val="000000"/>
        </w:rPr>
        <w:t>to whether it could have, as provided by the contract, formed an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opinion</w:t>
      </w:r>
      <w:r>
        <w:rPr>
          <w:rFonts w:ascii="Symbol" w:hAnsi="Symbol"/>
          <w:color w:val="000000"/>
        </w:rPr>
        <w:sym w:font="Symbol" w:char="F0B2"/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that a sale ... was necessary to protect its accrued charges.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00"/>
        </w:rPr>
        <w:t xml:space="preserve"> Id</w:t>
      </w:r>
      <w:r>
        <w:rPr>
          <w:color w:val="000000"/>
        </w:rPr>
        <w:t xml:space="preserve">. Without a good faith belief that a sale was necessary, the </w:t>
      </w:r>
      <w:proofErr w:type="spellStart"/>
      <w:r>
        <w:rPr>
          <w:color w:val="000000"/>
        </w:rPr>
        <w:t>bailee</w:t>
      </w:r>
      <w:proofErr w:type="spellEnd"/>
      <w:r>
        <w:rPr>
          <w:color w:val="000000"/>
        </w:rPr>
        <w:t xml:space="preserve"> could not sell the property. </w:t>
      </w:r>
    </w:p>
    <w:p w:rsidR="009E1284" w:rsidRDefault="005D7955">
      <w:pPr>
        <w:pStyle w:val="Normal1"/>
        <w:spacing w:before="187" w:line="276" w:lineRule="exact"/>
        <w:ind w:left="610"/>
        <w:rPr>
          <w:color w:val="000000"/>
        </w:rPr>
      </w:pPr>
      <w:r>
        <w:rPr>
          <w:color w:val="000000"/>
        </w:rPr>
        <w:t xml:space="preserve">By contrast, under Gale’s contract, default automatically provides the right of foreclosure, </w:t>
      </w:r>
    </w:p>
    <w:p w:rsidR="009E1284" w:rsidRDefault="005D7955">
      <w:pPr>
        <w:pStyle w:val="Normal1"/>
        <w:spacing w:line="260" w:lineRule="exact"/>
        <w:ind w:left="610" w:right="399"/>
        <w:rPr>
          <w:color w:val="000000"/>
        </w:rPr>
      </w:pPr>
      <w:r>
        <w:rPr>
          <w:color w:val="000000"/>
        </w:rPr>
        <w:t>whether or not the holder of the note and mortgage believes that</w:t>
      </w:r>
      <w:r>
        <w:rPr>
          <w:color w:val="000000"/>
        </w:rPr>
        <w:t xml:space="preserve"> the default might be remedied. The holder need form no opinion, in good faith or otherwise, as to whether its investment is safe, before it may proceed.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Mitchell</w:t>
      </w:r>
      <w:r>
        <w:rPr>
          <w:color w:val="000000"/>
          <w:u w:val="single"/>
        </w:rPr>
        <w:t xml:space="preserve">  </w:t>
      </w:r>
      <w:r>
        <w:rPr>
          <w:color w:val="000000"/>
        </w:rPr>
        <w:t>is therefore inapplicable, and we affirm the district court’s dis-</w:t>
      </w:r>
      <w:r>
        <w:rPr>
          <w:color w:val="000000"/>
        </w:rPr>
        <w:br/>
        <w:t xml:space="preserve">missal of this claim. </w:t>
      </w:r>
    </w:p>
    <w:p w:rsidR="009E1284" w:rsidRDefault="005D7955">
      <w:pPr>
        <w:pStyle w:val="Normal1"/>
        <w:spacing w:before="198" w:line="260" w:lineRule="exact"/>
        <w:ind w:left="610" w:right="388"/>
        <w:rPr>
          <w:color w:val="000000"/>
        </w:rPr>
      </w:pPr>
      <w:r>
        <w:rPr>
          <w:color w:val="000000"/>
          <w:spacing w:val="-2"/>
        </w:rPr>
        <w:t>B</w:t>
      </w:r>
      <w:r>
        <w:rPr>
          <w:color w:val="000000"/>
          <w:spacing w:val="-2"/>
        </w:rPr>
        <w:t>efore the district court, Gale invoked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Nev. Rev. Stat. § 104</w:t>
      </w:r>
      <w:r>
        <w:rPr>
          <w:color w:val="000000"/>
          <w:spacing w:val="-2"/>
        </w:rPr>
        <w:t>.</w:t>
      </w:r>
      <w:r>
        <w:rPr>
          <w:rFonts w:ascii="Times New Roman Bold" w:hAnsi="Times New Roman Bold"/>
          <w:color w:val="000000"/>
          <w:spacing w:val="-2"/>
        </w:rPr>
        <w:t xml:space="preserve"> [**14]</w:t>
      </w:r>
      <w:r>
        <w:rPr>
          <w:rFonts w:ascii="Times New Roman Bold Italic" w:hAnsi="Times New Roman Bold Italic"/>
          <w:color w:val="000000"/>
          <w:spacing w:val="-2"/>
        </w:rPr>
        <w:t xml:space="preserve"> HN8</w:t>
      </w:r>
      <w:r>
        <w:rPr>
          <w:color w:val="000000"/>
          <w:spacing w:val="-2"/>
        </w:rPr>
        <w:t xml:space="preserve"> That section does not per</w:t>
      </w:r>
      <w:r>
        <w:rPr>
          <w:color w:val="000000"/>
        </w:rPr>
        <w:t xml:space="preserve">tain to non-judicial foreclosures, although Gale also claimed inadequacy in the actual </w:t>
      </w:r>
      <w:proofErr w:type="spellStart"/>
      <w:r>
        <w:rPr>
          <w:color w:val="000000"/>
        </w:rPr>
        <w:t>foreclo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sure process, including lack of ownership of the note. With the benefit of appointed counsel, Gale’s </w:t>
      </w:r>
      <w:r>
        <w:rPr>
          <w:color w:val="000000"/>
        </w:rPr>
        <w:t xml:space="preserve">wrongful foreclosure and related breach of fiduciary duty claims have been refined on appeal. </w:t>
      </w:r>
      <w:r>
        <w:rPr>
          <w:color w:val="000000"/>
        </w:rPr>
        <w:br/>
        <w:t xml:space="preserve">The district court did not have the opportunity to consider </w:t>
      </w:r>
      <w:r>
        <w:rPr>
          <w:color w:val="000000"/>
        </w:rPr>
        <w:t>Nevada case law and statutory provi</w:t>
      </w:r>
      <w:r>
        <w:rPr>
          <w:color w:val="000000"/>
          <w:spacing w:val="-1"/>
        </w:rPr>
        <w:t xml:space="preserve">sions that Gale now uses to bolster the claims advanced below. Nonetheless, at this stage, Gale has </w:t>
      </w:r>
      <w:r>
        <w:rPr>
          <w:color w:val="000000"/>
        </w:rPr>
        <w:t xml:space="preserve">no remaining federal claims. We therefore vacate the district court’s dismissal of these claims, </w:t>
      </w:r>
      <w:r>
        <w:rPr>
          <w:color w:val="000000"/>
        </w:rPr>
        <w:br/>
        <w:t>so that the district co</w:t>
      </w:r>
      <w:r>
        <w:rPr>
          <w:color w:val="000000"/>
        </w:rPr>
        <w:t xml:space="preserve">urt may consider Gale’s argument in the first instance, or exercise its discretion to remand these claims to state court. </w:t>
      </w:r>
    </w:p>
    <w:p w:rsidR="009E1284" w:rsidRDefault="005D7955">
      <w:pPr>
        <w:pStyle w:val="Normal1"/>
        <w:spacing w:before="200" w:line="260" w:lineRule="exact"/>
        <w:ind w:left="610" w:right="815"/>
        <w:jc w:val="both"/>
        <w:rPr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1"/>
        </w:rPr>
        <w:t>AFFIRMED IN PART, VACATED IN PART, and REMANDED</w:t>
      </w:r>
      <w:r>
        <w:rPr>
          <w:color w:val="000000"/>
          <w:spacing w:val="-1"/>
        </w:rPr>
        <w:t xml:space="preserve">. Each party shall bear its </w:t>
      </w:r>
      <w:r>
        <w:rPr>
          <w:color w:val="000000"/>
          <w:spacing w:val="-2"/>
        </w:rPr>
        <w:t xml:space="preserve">own costs on appeal. </w:t>
      </w: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</w:rPr>
      </w:pPr>
    </w:p>
    <w:p w:rsidR="009E1284" w:rsidRDefault="009E1284">
      <w:pPr>
        <w:pStyle w:val="Normal1"/>
        <w:spacing w:line="230" w:lineRule="exact"/>
        <w:ind w:left="4895"/>
        <w:rPr>
          <w:color w:val="000000"/>
          <w:spacing w:val="-2"/>
        </w:rPr>
      </w:pPr>
    </w:p>
    <w:p w:rsidR="009E1284" w:rsidRDefault="005D7955">
      <w:pPr>
        <w:pStyle w:val="Normal1"/>
        <w:spacing w:before="65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9E1284" w:rsidRDefault="009E1284">
      <w:pPr>
        <w:pStyle w:val="Normal1"/>
        <w:rPr>
          <w:color w:val="000000"/>
          <w:spacing w:val="-1"/>
          <w:sz w:val="20"/>
        </w:rPr>
      </w:pPr>
    </w:p>
    <w:sectPr w:rsidR="009E1284">
      <w:pgSz w:w="12220" w:h="1582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Bold">
    <w:panose1 w:val="02020803070505020304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Times New Roman Bold Italic">
    <w:panose1 w:val="02020703060505090304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1284"/>
    <w:rsid w:val="005D7955"/>
    <w:rsid w:val="009E1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_0"/>
    <w:qFormat/>
    <w:rsid w:val="00805BCE"/>
    <w:rPr>
      <w:sz w:val="24"/>
      <w:szCs w:val="24"/>
    </w:rPr>
  </w:style>
  <w:style w:type="paragraph" w:customStyle="1" w:styleId="Normal1">
    <w:name w:val="Normal_1"/>
    <w:qFormat/>
    <w:rsid w:val="00805B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3606</Words>
  <Characters>20560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Cox</cp:lastModifiedBy>
  <cp:revision>3</cp:revision>
  <dcterms:created xsi:type="dcterms:W3CDTF">2012-10-19T13:49:00Z</dcterms:created>
  <dcterms:modified xsi:type="dcterms:W3CDTF">2012-10-19T13:49:00Z</dcterms:modified>
</cp:coreProperties>
</file>