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5528" w:rsidRDefault="00CF5528" w:rsidP="00CF5528">
      <w:pPr>
        <w:autoSpaceDE w:val="0"/>
        <w:autoSpaceDN w:val="0"/>
        <w:adjustRightInd w:val="0"/>
        <w:spacing w:line="240" w:lineRule="auto"/>
        <w:jc w:val="center"/>
        <w:rPr>
          <w:sz w:val="48"/>
          <w:szCs w:val="48"/>
        </w:rPr>
      </w:pPr>
      <w:r>
        <w:rPr>
          <w:sz w:val="48"/>
          <w:szCs w:val="48"/>
        </w:rPr>
        <w:t>In the District Court of Appeal</w:t>
      </w:r>
    </w:p>
    <w:p w:rsidR="00CF5528" w:rsidRDefault="00CF5528" w:rsidP="00CF5528">
      <w:pPr>
        <w:autoSpaceDE w:val="0"/>
        <w:autoSpaceDN w:val="0"/>
        <w:adjustRightInd w:val="0"/>
        <w:spacing w:line="240" w:lineRule="auto"/>
        <w:jc w:val="center"/>
        <w:rPr>
          <w:sz w:val="48"/>
          <w:szCs w:val="48"/>
        </w:rPr>
      </w:pPr>
      <w:r>
        <w:rPr>
          <w:sz w:val="48"/>
          <w:szCs w:val="48"/>
        </w:rPr>
        <w:t>Second District of Florida</w:t>
      </w:r>
    </w:p>
    <w:p w:rsidR="00CF5528" w:rsidRDefault="00CF5528" w:rsidP="00CF5528">
      <w:pPr>
        <w:autoSpaceDE w:val="0"/>
        <w:autoSpaceDN w:val="0"/>
        <w:adjustRightInd w:val="0"/>
        <w:spacing w:line="240" w:lineRule="auto"/>
        <w:jc w:val="center"/>
        <w:rPr>
          <w:rFonts w:ascii="MalgunGothicRegular" w:hAnsi="MalgunGothicRegular" w:cs="MalgunGothicRegular"/>
          <w:sz w:val="28"/>
          <w:szCs w:val="28"/>
        </w:rPr>
      </w:pPr>
      <w:r>
        <w:rPr>
          <w:rFonts w:ascii="MalgunGothicRegular" w:hAnsi="MalgunGothicRegular" w:cs="MalgunGothicRegular"/>
          <w:sz w:val="28"/>
          <w:szCs w:val="28"/>
        </w:rPr>
        <w:t>_________________________</w:t>
      </w:r>
    </w:p>
    <w:p w:rsidR="00CF5528" w:rsidRDefault="00CF5528" w:rsidP="00CF5528">
      <w:pPr>
        <w:autoSpaceDE w:val="0"/>
        <w:autoSpaceDN w:val="0"/>
        <w:adjustRightInd w:val="0"/>
        <w:spacing w:line="240" w:lineRule="auto"/>
        <w:jc w:val="center"/>
        <w:rPr>
          <w:sz w:val="28"/>
          <w:szCs w:val="28"/>
        </w:rPr>
      </w:pPr>
    </w:p>
    <w:p w:rsidR="00CF5528" w:rsidRDefault="00CF5528" w:rsidP="00CF5528">
      <w:pPr>
        <w:autoSpaceDE w:val="0"/>
        <w:autoSpaceDN w:val="0"/>
        <w:adjustRightInd w:val="0"/>
        <w:spacing w:line="240" w:lineRule="auto"/>
        <w:jc w:val="center"/>
      </w:pPr>
      <w:r>
        <w:rPr>
          <w:sz w:val="28"/>
          <w:szCs w:val="28"/>
        </w:rPr>
        <w:t>CASE NO</w:t>
      </w:r>
      <w:r>
        <w:t xml:space="preserve">. </w:t>
      </w:r>
      <w:r w:rsidRPr="00CF5528">
        <w:t>2D12-2013</w:t>
      </w:r>
    </w:p>
    <w:p w:rsidR="00CF5528" w:rsidRDefault="00CF5528" w:rsidP="00CF5528">
      <w:pPr>
        <w:autoSpaceDE w:val="0"/>
        <w:autoSpaceDN w:val="0"/>
        <w:adjustRightInd w:val="0"/>
        <w:spacing w:line="240" w:lineRule="auto"/>
        <w:jc w:val="center"/>
      </w:pPr>
    </w:p>
    <w:p w:rsidR="00CF5528" w:rsidRDefault="00CF5528" w:rsidP="00CF5528">
      <w:pPr>
        <w:autoSpaceDE w:val="0"/>
        <w:autoSpaceDN w:val="0"/>
        <w:adjustRightInd w:val="0"/>
        <w:spacing w:line="240" w:lineRule="auto"/>
        <w:jc w:val="center"/>
      </w:pPr>
      <w:r>
        <w:t>(Lower Tribunal Case No. 08-018284-CI-19)</w:t>
      </w:r>
    </w:p>
    <w:p w:rsidR="00CF5528" w:rsidRDefault="00CF5528" w:rsidP="00CF5528">
      <w:pPr>
        <w:autoSpaceDE w:val="0"/>
        <w:autoSpaceDN w:val="0"/>
        <w:adjustRightInd w:val="0"/>
        <w:spacing w:line="240" w:lineRule="auto"/>
        <w:jc w:val="center"/>
        <w:rPr>
          <w:sz w:val="28"/>
          <w:szCs w:val="28"/>
        </w:rPr>
      </w:pPr>
      <w:r>
        <w:rPr>
          <w:sz w:val="28"/>
          <w:szCs w:val="28"/>
        </w:rPr>
        <w:t>_____________________</w:t>
      </w:r>
    </w:p>
    <w:p w:rsidR="00CF5528" w:rsidRDefault="00CF5528" w:rsidP="00CF5528">
      <w:pPr>
        <w:autoSpaceDE w:val="0"/>
        <w:autoSpaceDN w:val="0"/>
        <w:adjustRightInd w:val="0"/>
        <w:spacing w:line="240" w:lineRule="auto"/>
        <w:jc w:val="center"/>
        <w:rPr>
          <w:sz w:val="28"/>
          <w:szCs w:val="28"/>
        </w:rPr>
      </w:pPr>
    </w:p>
    <w:p w:rsidR="00CF5528" w:rsidRDefault="00CF5528" w:rsidP="00CF5528">
      <w:pPr>
        <w:autoSpaceDE w:val="0"/>
        <w:autoSpaceDN w:val="0"/>
        <w:adjustRightInd w:val="0"/>
        <w:spacing w:line="240" w:lineRule="auto"/>
        <w:jc w:val="center"/>
        <w:rPr>
          <w:sz w:val="28"/>
          <w:szCs w:val="28"/>
        </w:rPr>
      </w:pPr>
      <w:r>
        <w:rPr>
          <w:caps/>
          <w:sz w:val="28"/>
          <w:szCs w:val="28"/>
        </w:rPr>
        <w:t>ERNEST C. HASSELL and TERI DITRRICH-HASSELL</w:t>
      </w:r>
      <w:r>
        <w:rPr>
          <w:sz w:val="28"/>
          <w:szCs w:val="28"/>
        </w:rPr>
        <w:t>,</w:t>
      </w:r>
    </w:p>
    <w:p w:rsidR="00CF5528" w:rsidRDefault="00CF5528" w:rsidP="00CF5528">
      <w:pPr>
        <w:autoSpaceDE w:val="0"/>
        <w:autoSpaceDN w:val="0"/>
        <w:adjustRightInd w:val="0"/>
        <w:spacing w:line="240" w:lineRule="auto"/>
        <w:jc w:val="center"/>
        <w:rPr>
          <w:sz w:val="28"/>
          <w:szCs w:val="28"/>
        </w:rPr>
      </w:pPr>
    </w:p>
    <w:p w:rsidR="00CF5528" w:rsidRDefault="00CF5528" w:rsidP="00CF5528">
      <w:pPr>
        <w:autoSpaceDE w:val="0"/>
        <w:autoSpaceDN w:val="0"/>
        <w:adjustRightInd w:val="0"/>
        <w:spacing w:line="240" w:lineRule="auto"/>
        <w:jc w:val="center"/>
        <w:rPr>
          <w:sz w:val="28"/>
          <w:szCs w:val="28"/>
        </w:rPr>
      </w:pPr>
      <w:r>
        <w:rPr>
          <w:sz w:val="28"/>
          <w:szCs w:val="28"/>
        </w:rPr>
        <w:t>Appellants,</w:t>
      </w:r>
    </w:p>
    <w:p w:rsidR="00CF5528" w:rsidRDefault="00CF5528" w:rsidP="00CF5528">
      <w:pPr>
        <w:autoSpaceDE w:val="0"/>
        <w:autoSpaceDN w:val="0"/>
        <w:adjustRightInd w:val="0"/>
        <w:spacing w:line="240" w:lineRule="auto"/>
        <w:jc w:val="center"/>
        <w:rPr>
          <w:sz w:val="28"/>
          <w:szCs w:val="28"/>
        </w:rPr>
      </w:pPr>
    </w:p>
    <w:p w:rsidR="00CF5528" w:rsidRDefault="00CF5528" w:rsidP="00CF5528">
      <w:pPr>
        <w:autoSpaceDE w:val="0"/>
        <w:autoSpaceDN w:val="0"/>
        <w:adjustRightInd w:val="0"/>
        <w:spacing w:line="240" w:lineRule="auto"/>
        <w:jc w:val="center"/>
        <w:rPr>
          <w:sz w:val="28"/>
          <w:szCs w:val="28"/>
        </w:rPr>
      </w:pPr>
      <w:r>
        <w:rPr>
          <w:sz w:val="28"/>
          <w:szCs w:val="28"/>
        </w:rPr>
        <w:t>v.</w:t>
      </w:r>
    </w:p>
    <w:p w:rsidR="00CF5528" w:rsidRDefault="00CF5528" w:rsidP="00CF5528">
      <w:pPr>
        <w:autoSpaceDE w:val="0"/>
        <w:autoSpaceDN w:val="0"/>
        <w:adjustRightInd w:val="0"/>
        <w:spacing w:line="240" w:lineRule="auto"/>
        <w:jc w:val="center"/>
        <w:rPr>
          <w:sz w:val="28"/>
          <w:szCs w:val="28"/>
        </w:rPr>
      </w:pPr>
    </w:p>
    <w:p w:rsidR="00276300" w:rsidRDefault="00CF5528" w:rsidP="00CF5528">
      <w:pPr>
        <w:autoSpaceDE w:val="0"/>
        <w:autoSpaceDN w:val="0"/>
        <w:adjustRightInd w:val="0"/>
        <w:spacing w:line="240" w:lineRule="auto"/>
        <w:jc w:val="center"/>
        <w:rPr>
          <w:sz w:val="28"/>
          <w:szCs w:val="28"/>
        </w:rPr>
        <w:sectPr w:rsidR="00276300" w:rsidSect="00824BD8">
          <w:footerReference w:type="default" r:id="rId8"/>
          <w:pgSz w:w="12240" w:h="15840"/>
          <w:pgMar w:top="1440" w:right="1440" w:bottom="1440" w:left="1440" w:header="720" w:footer="720" w:gutter="0"/>
          <w:pgNumType w:fmt="lowerRoman" w:start="1"/>
          <w:cols w:space="720"/>
          <w:titlePg/>
          <w:docGrid w:linePitch="360"/>
        </w:sectPr>
      </w:pPr>
      <w:r>
        <w:rPr>
          <w:sz w:val="28"/>
          <w:szCs w:val="28"/>
        </w:rPr>
        <w:t>RESIDENTIAL CREDIT SOLUTIONS, INC.,</w:t>
      </w:r>
    </w:p>
    <w:p w:rsidR="00CF5528" w:rsidRDefault="00CF5528" w:rsidP="00CF5528">
      <w:pPr>
        <w:autoSpaceDE w:val="0"/>
        <w:autoSpaceDN w:val="0"/>
        <w:adjustRightInd w:val="0"/>
        <w:spacing w:line="240" w:lineRule="auto"/>
        <w:jc w:val="center"/>
        <w:rPr>
          <w:sz w:val="28"/>
          <w:szCs w:val="28"/>
        </w:rPr>
      </w:pPr>
    </w:p>
    <w:p w:rsidR="00CF5528" w:rsidRDefault="00CF5528" w:rsidP="00CF5528">
      <w:pPr>
        <w:autoSpaceDE w:val="0"/>
        <w:autoSpaceDN w:val="0"/>
        <w:adjustRightInd w:val="0"/>
        <w:spacing w:line="240" w:lineRule="auto"/>
        <w:jc w:val="center"/>
        <w:rPr>
          <w:sz w:val="28"/>
          <w:szCs w:val="28"/>
        </w:rPr>
      </w:pPr>
      <w:r>
        <w:rPr>
          <w:sz w:val="28"/>
          <w:szCs w:val="28"/>
        </w:rPr>
        <w:t>Appellee.</w:t>
      </w:r>
    </w:p>
    <w:p w:rsidR="00CF5528" w:rsidRDefault="00CF5528" w:rsidP="00CF5528">
      <w:pPr>
        <w:autoSpaceDE w:val="0"/>
        <w:autoSpaceDN w:val="0"/>
        <w:adjustRightInd w:val="0"/>
        <w:spacing w:line="240" w:lineRule="auto"/>
        <w:jc w:val="center"/>
      </w:pPr>
      <w:r>
        <w:t>___________________________________________</w:t>
      </w:r>
    </w:p>
    <w:p w:rsidR="00CF5528" w:rsidRDefault="00CF5528" w:rsidP="00CF5528">
      <w:pPr>
        <w:autoSpaceDE w:val="0"/>
        <w:autoSpaceDN w:val="0"/>
        <w:adjustRightInd w:val="0"/>
        <w:spacing w:line="240" w:lineRule="auto"/>
        <w:jc w:val="center"/>
        <w:rPr>
          <w:b/>
          <w:bCs/>
          <w:sz w:val="28"/>
          <w:szCs w:val="28"/>
        </w:rPr>
      </w:pPr>
    </w:p>
    <w:p w:rsidR="00CF5528" w:rsidRDefault="00CF5528" w:rsidP="00CF5528">
      <w:pPr>
        <w:autoSpaceDE w:val="0"/>
        <w:autoSpaceDN w:val="0"/>
        <w:adjustRightInd w:val="0"/>
        <w:spacing w:line="240" w:lineRule="auto"/>
        <w:jc w:val="center"/>
        <w:rPr>
          <w:b/>
          <w:bCs/>
          <w:sz w:val="28"/>
          <w:szCs w:val="28"/>
        </w:rPr>
      </w:pPr>
      <w:r>
        <w:rPr>
          <w:b/>
          <w:bCs/>
          <w:sz w:val="28"/>
          <w:szCs w:val="28"/>
        </w:rPr>
        <w:t>INITIAL BRIEF OF APPELLANTS</w:t>
      </w:r>
    </w:p>
    <w:p w:rsidR="00CF5528" w:rsidRDefault="00CF5528" w:rsidP="00CF5528">
      <w:pPr>
        <w:jc w:val="center"/>
      </w:pPr>
      <w:r>
        <w:t>___________________________________________</w:t>
      </w:r>
    </w:p>
    <w:p w:rsidR="00CF5528" w:rsidRDefault="00CF5528" w:rsidP="00CF5528">
      <w:pPr>
        <w:jc w:val="center"/>
      </w:pPr>
    </w:p>
    <w:p w:rsidR="00CF5528" w:rsidRDefault="00CF5528" w:rsidP="00CF5528">
      <w:pPr>
        <w:jc w:val="center"/>
      </w:pPr>
    </w:p>
    <w:p w:rsidR="00CF5528" w:rsidRDefault="00CF5528" w:rsidP="00CF5528">
      <w:pPr>
        <w:jc w:val="center"/>
      </w:pPr>
    </w:p>
    <w:p w:rsidR="00CF5528" w:rsidRPr="00243B3F" w:rsidRDefault="00CF5528" w:rsidP="00CF5528">
      <w:pPr>
        <w:spacing w:line="240" w:lineRule="auto"/>
        <w:jc w:val="right"/>
        <w:rPr>
          <w:sz w:val="28"/>
          <w:szCs w:val="28"/>
        </w:rPr>
      </w:pPr>
      <w:r>
        <w:tab/>
      </w:r>
      <w:r>
        <w:tab/>
      </w:r>
      <w:r>
        <w:tab/>
      </w:r>
      <w:r>
        <w:tab/>
      </w:r>
      <w:r>
        <w:tab/>
      </w:r>
      <w:r>
        <w:tab/>
      </w:r>
      <w:r w:rsidRPr="00243B3F">
        <w:rPr>
          <w:sz w:val="28"/>
          <w:szCs w:val="28"/>
        </w:rPr>
        <w:t>Respectfully Submitted,</w:t>
      </w:r>
    </w:p>
    <w:p w:rsidR="00CF5528" w:rsidRPr="00243B3F" w:rsidRDefault="00CF5528" w:rsidP="00CF5528">
      <w:pPr>
        <w:spacing w:line="240" w:lineRule="auto"/>
        <w:jc w:val="right"/>
        <w:rPr>
          <w:sz w:val="28"/>
          <w:szCs w:val="28"/>
        </w:rPr>
      </w:pPr>
    </w:p>
    <w:p w:rsidR="00456CC7" w:rsidRDefault="00CF5528" w:rsidP="00456CC7">
      <w:pPr>
        <w:spacing w:line="240" w:lineRule="auto"/>
        <w:jc w:val="right"/>
        <w:rPr>
          <w:sz w:val="28"/>
          <w:szCs w:val="28"/>
        </w:rPr>
      </w:pPr>
      <w:r w:rsidRPr="00243B3F">
        <w:rPr>
          <w:sz w:val="28"/>
          <w:szCs w:val="28"/>
        </w:rPr>
        <w:tab/>
      </w:r>
      <w:r w:rsidRPr="00243B3F">
        <w:rPr>
          <w:sz w:val="28"/>
          <w:szCs w:val="28"/>
        </w:rPr>
        <w:tab/>
      </w:r>
      <w:r w:rsidRPr="00243B3F">
        <w:rPr>
          <w:sz w:val="28"/>
          <w:szCs w:val="28"/>
        </w:rPr>
        <w:tab/>
      </w:r>
      <w:r w:rsidRPr="00243B3F">
        <w:rPr>
          <w:sz w:val="28"/>
          <w:szCs w:val="28"/>
        </w:rPr>
        <w:tab/>
      </w:r>
      <w:r w:rsidRPr="00243B3F">
        <w:rPr>
          <w:sz w:val="28"/>
          <w:szCs w:val="28"/>
        </w:rPr>
        <w:tab/>
      </w:r>
    </w:p>
    <w:tbl>
      <w:tblPr>
        <w:tblStyle w:val="TableGrid"/>
        <w:tblW w:w="0" w:type="auto"/>
        <w:tblLook w:val="04A0"/>
      </w:tblPr>
      <w:tblGrid>
        <w:gridCol w:w="4788"/>
        <w:gridCol w:w="4788"/>
      </w:tblGrid>
      <w:tr w:rsidR="00456CC7" w:rsidTr="005B35B3">
        <w:tc>
          <w:tcPr>
            <w:tcW w:w="4788" w:type="dxa"/>
          </w:tcPr>
          <w:p w:rsidR="00456CC7" w:rsidRDefault="00456CC7" w:rsidP="00456CC7">
            <w:pPr>
              <w:spacing w:line="240" w:lineRule="auto"/>
              <w:rPr>
                <w:sz w:val="28"/>
                <w:szCs w:val="28"/>
              </w:rPr>
            </w:pPr>
            <w:r>
              <w:rPr>
                <w:sz w:val="28"/>
                <w:szCs w:val="28"/>
              </w:rPr>
              <w:t>Michael P. Fuino, Esq.</w:t>
            </w:r>
          </w:p>
          <w:p w:rsidR="00456CC7" w:rsidRDefault="00456CC7" w:rsidP="00456CC7">
            <w:pPr>
              <w:spacing w:line="240" w:lineRule="auto"/>
              <w:rPr>
                <w:sz w:val="28"/>
                <w:szCs w:val="28"/>
              </w:rPr>
            </w:pPr>
            <w:r>
              <w:rPr>
                <w:sz w:val="28"/>
                <w:szCs w:val="28"/>
              </w:rPr>
              <w:t>Counsel for Appellants</w:t>
            </w:r>
          </w:p>
          <w:p w:rsidR="00456CC7" w:rsidRDefault="00456CC7" w:rsidP="00456CC7">
            <w:pPr>
              <w:spacing w:line="240" w:lineRule="auto"/>
              <w:rPr>
                <w:sz w:val="28"/>
                <w:szCs w:val="28"/>
              </w:rPr>
            </w:pPr>
            <w:r>
              <w:rPr>
                <w:sz w:val="28"/>
                <w:szCs w:val="28"/>
              </w:rPr>
              <w:t>Matthew D. Weidner, P.A.</w:t>
            </w:r>
          </w:p>
          <w:p w:rsidR="00456CC7" w:rsidRDefault="00456CC7" w:rsidP="00456CC7">
            <w:pPr>
              <w:spacing w:line="240" w:lineRule="auto"/>
              <w:rPr>
                <w:sz w:val="28"/>
                <w:szCs w:val="28"/>
              </w:rPr>
            </w:pPr>
            <w:r>
              <w:rPr>
                <w:sz w:val="28"/>
                <w:szCs w:val="28"/>
              </w:rPr>
              <w:t>1229 Central Ave.</w:t>
            </w:r>
          </w:p>
          <w:p w:rsidR="00456CC7" w:rsidRDefault="00456CC7" w:rsidP="00456CC7">
            <w:pPr>
              <w:spacing w:line="240" w:lineRule="auto"/>
              <w:rPr>
                <w:sz w:val="28"/>
                <w:szCs w:val="28"/>
              </w:rPr>
            </w:pPr>
            <w:r>
              <w:rPr>
                <w:sz w:val="28"/>
                <w:szCs w:val="28"/>
              </w:rPr>
              <w:t>St. Petersburg, FL 33705</w:t>
            </w:r>
          </w:p>
          <w:p w:rsidR="00456CC7" w:rsidRDefault="00456CC7" w:rsidP="00456CC7">
            <w:pPr>
              <w:spacing w:line="240" w:lineRule="auto"/>
              <w:rPr>
                <w:sz w:val="28"/>
                <w:szCs w:val="28"/>
              </w:rPr>
            </w:pPr>
            <w:r>
              <w:rPr>
                <w:sz w:val="28"/>
                <w:szCs w:val="28"/>
              </w:rPr>
              <w:t>Telephone: (727) 894-3159</w:t>
            </w:r>
          </w:p>
          <w:p w:rsidR="00456CC7" w:rsidRDefault="00456CC7" w:rsidP="00456CC7">
            <w:pPr>
              <w:spacing w:line="240" w:lineRule="auto"/>
              <w:rPr>
                <w:sz w:val="28"/>
                <w:szCs w:val="28"/>
              </w:rPr>
            </w:pPr>
            <w:r>
              <w:rPr>
                <w:sz w:val="28"/>
                <w:szCs w:val="28"/>
              </w:rPr>
              <w:t>Facsimile: (727) 894-2953</w:t>
            </w:r>
          </w:p>
          <w:p w:rsidR="00456CC7" w:rsidRDefault="003A5127" w:rsidP="00456CC7">
            <w:pPr>
              <w:spacing w:line="240" w:lineRule="auto"/>
              <w:rPr>
                <w:sz w:val="28"/>
                <w:szCs w:val="28"/>
              </w:rPr>
            </w:pPr>
            <w:hyperlink r:id="rId9" w:history="1">
              <w:r w:rsidR="00456CC7" w:rsidRPr="00DC5038">
                <w:rPr>
                  <w:rStyle w:val="Hyperlink"/>
                  <w:sz w:val="28"/>
                  <w:szCs w:val="28"/>
                </w:rPr>
                <w:t>mfuino@mattweidnerlaw.com</w:t>
              </w:r>
            </w:hyperlink>
            <w:r w:rsidR="00456CC7">
              <w:rPr>
                <w:sz w:val="28"/>
                <w:szCs w:val="28"/>
              </w:rPr>
              <w:t xml:space="preserve"> </w:t>
            </w:r>
          </w:p>
          <w:p w:rsidR="00456CC7" w:rsidRPr="00DE58B9" w:rsidRDefault="00456CC7" w:rsidP="00456CC7">
            <w:pPr>
              <w:spacing w:line="240" w:lineRule="auto"/>
              <w:rPr>
                <w:sz w:val="28"/>
                <w:szCs w:val="28"/>
              </w:rPr>
            </w:pPr>
            <w:r>
              <w:rPr>
                <w:sz w:val="28"/>
                <w:szCs w:val="28"/>
              </w:rPr>
              <w:t>FBN: 84191</w:t>
            </w:r>
          </w:p>
        </w:tc>
        <w:tc>
          <w:tcPr>
            <w:tcW w:w="4788" w:type="dxa"/>
          </w:tcPr>
          <w:p w:rsidR="00456CC7" w:rsidRDefault="00456CC7" w:rsidP="00456CC7">
            <w:pPr>
              <w:spacing w:line="240" w:lineRule="auto"/>
              <w:jc w:val="right"/>
              <w:rPr>
                <w:sz w:val="28"/>
                <w:szCs w:val="28"/>
              </w:rPr>
            </w:pPr>
            <w:r>
              <w:rPr>
                <w:sz w:val="28"/>
                <w:szCs w:val="28"/>
              </w:rPr>
              <w:t>Matthew D. Weidner, Esq.</w:t>
            </w:r>
          </w:p>
          <w:p w:rsidR="00456CC7" w:rsidRDefault="00456CC7" w:rsidP="00456CC7">
            <w:pPr>
              <w:spacing w:line="240" w:lineRule="auto"/>
              <w:jc w:val="right"/>
              <w:rPr>
                <w:sz w:val="28"/>
                <w:szCs w:val="28"/>
              </w:rPr>
            </w:pPr>
            <w:r>
              <w:rPr>
                <w:sz w:val="28"/>
                <w:szCs w:val="28"/>
              </w:rPr>
              <w:t>Counsel for Appellants</w:t>
            </w:r>
          </w:p>
          <w:p w:rsidR="00456CC7" w:rsidRDefault="00456CC7" w:rsidP="00456CC7">
            <w:pPr>
              <w:spacing w:line="240" w:lineRule="auto"/>
              <w:jc w:val="right"/>
              <w:rPr>
                <w:sz w:val="28"/>
                <w:szCs w:val="28"/>
              </w:rPr>
            </w:pPr>
            <w:r>
              <w:rPr>
                <w:sz w:val="28"/>
                <w:szCs w:val="28"/>
              </w:rPr>
              <w:t>Matthew D. Weidner, P.A.</w:t>
            </w:r>
          </w:p>
          <w:p w:rsidR="00456CC7" w:rsidRDefault="00456CC7" w:rsidP="00456CC7">
            <w:pPr>
              <w:spacing w:line="240" w:lineRule="auto"/>
              <w:jc w:val="right"/>
              <w:rPr>
                <w:sz w:val="28"/>
                <w:szCs w:val="28"/>
              </w:rPr>
            </w:pPr>
            <w:r>
              <w:rPr>
                <w:sz w:val="28"/>
                <w:szCs w:val="28"/>
              </w:rPr>
              <w:t>1229 Central Ave.</w:t>
            </w:r>
          </w:p>
          <w:p w:rsidR="00456CC7" w:rsidRDefault="00456CC7" w:rsidP="00456CC7">
            <w:pPr>
              <w:spacing w:line="240" w:lineRule="auto"/>
              <w:jc w:val="right"/>
              <w:rPr>
                <w:sz w:val="28"/>
                <w:szCs w:val="28"/>
              </w:rPr>
            </w:pPr>
            <w:r>
              <w:rPr>
                <w:sz w:val="28"/>
                <w:szCs w:val="28"/>
              </w:rPr>
              <w:t>St. Petersburg, FL 33705</w:t>
            </w:r>
          </w:p>
          <w:p w:rsidR="00456CC7" w:rsidRDefault="00456CC7" w:rsidP="00456CC7">
            <w:pPr>
              <w:spacing w:line="240" w:lineRule="auto"/>
              <w:jc w:val="right"/>
              <w:rPr>
                <w:sz w:val="28"/>
                <w:szCs w:val="28"/>
              </w:rPr>
            </w:pPr>
            <w:r>
              <w:rPr>
                <w:sz w:val="28"/>
                <w:szCs w:val="28"/>
              </w:rPr>
              <w:t>Telephone: (727) 894-3159</w:t>
            </w:r>
          </w:p>
          <w:p w:rsidR="00456CC7" w:rsidRDefault="00456CC7" w:rsidP="00456CC7">
            <w:pPr>
              <w:spacing w:line="240" w:lineRule="auto"/>
              <w:jc w:val="right"/>
              <w:rPr>
                <w:sz w:val="28"/>
                <w:szCs w:val="28"/>
              </w:rPr>
            </w:pPr>
            <w:r>
              <w:rPr>
                <w:sz w:val="28"/>
                <w:szCs w:val="28"/>
              </w:rPr>
              <w:t>Facsimile: (727) 894-2953</w:t>
            </w:r>
          </w:p>
          <w:p w:rsidR="00456CC7" w:rsidRDefault="003A5127" w:rsidP="00456CC7">
            <w:pPr>
              <w:spacing w:line="240" w:lineRule="auto"/>
              <w:jc w:val="right"/>
              <w:rPr>
                <w:sz w:val="28"/>
                <w:szCs w:val="28"/>
              </w:rPr>
            </w:pPr>
            <w:hyperlink r:id="rId10" w:history="1">
              <w:r w:rsidR="00456CC7" w:rsidRPr="00DC5038">
                <w:rPr>
                  <w:rStyle w:val="Hyperlink"/>
                  <w:sz w:val="28"/>
                  <w:szCs w:val="28"/>
                </w:rPr>
                <w:t>weidner@mattweidnerlaw.com</w:t>
              </w:r>
            </w:hyperlink>
            <w:r w:rsidR="00456CC7">
              <w:rPr>
                <w:sz w:val="28"/>
                <w:szCs w:val="28"/>
              </w:rPr>
              <w:t xml:space="preserve"> </w:t>
            </w:r>
          </w:p>
          <w:p w:rsidR="00456CC7" w:rsidRDefault="00456CC7" w:rsidP="00456CC7">
            <w:pPr>
              <w:spacing w:line="240" w:lineRule="auto"/>
              <w:jc w:val="right"/>
            </w:pPr>
            <w:r>
              <w:rPr>
                <w:sz w:val="28"/>
                <w:szCs w:val="28"/>
              </w:rPr>
              <w:t>FBN: 185957</w:t>
            </w:r>
          </w:p>
        </w:tc>
      </w:tr>
    </w:tbl>
    <w:p w:rsidR="00456CC7" w:rsidRDefault="00456CC7" w:rsidP="002104E6">
      <w:pPr>
        <w:spacing w:line="480" w:lineRule="auto"/>
        <w:jc w:val="center"/>
        <w:rPr>
          <w:b/>
          <w:sz w:val="28"/>
          <w:szCs w:val="28"/>
        </w:rPr>
      </w:pPr>
    </w:p>
    <w:p w:rsidR="00276300" w:rsidRDefault="00276300" w:rsidP="00276300">
      <w:pPr>
        <w:spacing w:line="216" w:lineRule="auto"/>
        <w:jc w:val="center"/>
        <w:rPr>
          <w:b/>
          <w:caps/>
          <w:spacing w:val="-10"/>
          <w:sz w:val="28"/>
        </w:rPr>
        <w:sectPr w:rsidR="00276300" w:rsidSect="00276300">
          <w:footerReference w:type="default" r:id="rId11"/>
          <w:type w:val="continuous"/>
          <w:pgSz w:w="12240" w:h="15840"/>
          <w:pgMar w:top="1440" w:right="1440" w:bottom="1440" w:left="1440" w:header="720" w:footer="720" w:gutter="0"/>
          <w:pgNumType w:fmt="lowerRoman" w:start="1"/>
          <w:cols w:space="720"/>
          <w:titlePg/>
          <w:docGrid w:linePitch="360"/>
        </w:sectPr>
      </w:pPr>
      <w:r>
        <w:rPr>
          <w:b/>
          <w:caps/>
          <w:spacing w:val="-10"/>
          <w:sz w:val="28"/>
        </w:rPr>
        <w:lastRenderedPageBreak/>
        <w:t>Table of Contents</w:t>
      </w:r>
    </w:p>
    <w:p w:rsidR="00276300" w:rsidRDefault="00276300" w:rsidP="00276300">
      <w:pPr>
        <w:spacing w:line="216" w:lineRule="auto"/>
        <w:jc w:val="center"/>
        <w:rPr>
          <w:caps/>
          <w:spacing w:val="-10"/>
          <w:sz w:val="28"/>
        </w:rPr>
      </w:pPr>
    </w:p>
    <w:p w:rsidR="00276300" w:rsidRDefault="00276300" w:rsidP="00276300">
      <w:pPr>
        <w:tabs>
          <w:tab w:val="left" w:pos="720"/>
          <w:tab w:val="left" w:pos="1440"/>
          <w:tab w:val="right" w:leader="dot" w:pos="9360"/>
        </w:tabs>
        <w:spacing w:line="216" w:lineRule="auto"/>
        <w:ind w:right="720"/>
        <w:rPr>
          <w:spacing w:val="-10"/>
          <w:sz w:val="28"/>
        </w:rPr>
      </w:pPr>
      <w:r>
        <w:rPr>
          <w:spacing w:val="-10"/>
          <w:sz w:val="28"/>
        </w:rPr>
        <w:t>Table of Authorities</w:t>
      </w:r>
      <w:r>
        <w:rPr>
          <w:spacing w:val="-10"/>
          <w:sz w:val="28"/>
        </w:rPr>
        <w:tab/>
        <w:t>iii</w:t>
      </w:r>
    </w:p>
    <w:p w:rsidR="00276300" w:rsidRDefault="00276300" w:rsidP="00276300">
      <w:pPr>
        <w:tabs>
          <w:tab w:val="left" w:pos="720"/>
          <w:tab w:val="left" w:pos="1440"/>
          <w:tab w:val="right" w:leader="dot" w:pos="9360"/>
        </w:tabs>
        <w:spacing w:line="216" w:lineRule="auto"/>
        <w:ind w:right="720"/>
        <w:rPr>
          <w:spacing w:val="-10"/>
          <w:sz w:val="28"/>
        </w:rPr>
      </w:pPr>
    </w:p>
    <w:p w:rsidR="00276300" w:rsidRDefault="00276300" w:rsidP="00276300">
      <w:pPr>
        <w:tabs>
          <w:tab w:val="left" w:pos="720"/>
          <w:tab w:val="left" w:pos="1440"/>
          <w:tab w:val="right" w:leader="dot" w:pos="9360"/>
        </w:tabs>
        <w:spacing w:line="216" w:lineRule="auto"/>
        <w:ind w:right="720"/>
        <w:rPr>
          <w:spacing w:val="-10"/>
          <w:sz w:val="28"/>
        </w:rPr>
      </w:pPr>
      <w:r>
        <w:rPr>
          <w:spacing w:val="-10"/>
          <w:sz w:val="28"/>
        </w:rPr>
        <w:t>Preliminary Statement</w:t>
      </w:r>
      <w:r>
        <w:rPr>
          <w:spacing w:val="-10"/>
          <w:sz w:val="28"/>
        </w:rPr>
        <w:tab/>
        <w:t>v</w:t>
      </w:r>
      <w:r w:rsidR="00945BFB">
        <w:rPr>
          <w:spacing w:val="-10"/>
          <w:sz w:val="28"/>
        </w:rPr>
        <w:t>ii</w:t>
      </w:r>
    </w:p>
    <w:p w:rsidR="00276300" w:rsidRDefault="00276300" w:rsidP="00276300">
      <w:pPr>
        <w:tabs>
          <w:tab w:val="left" w:pos="720"/>
          <w:tab w:val="left" w:pos="1440"/>
          <w:tab w:val="right" w:leader="dot" w:pos="9360"/>
        </w:tabs>
        <w:spacing w:line="216" w:lineRule="auto"/>
        <w:ind w:right="720"/>
        <w:rPr>
          <w:spacing w:val="-10"/>
          <w:sz w:val="28"/>
        </w:rPr>
      </w:pPr>
    </w:p>
    <w:p w:rsidR="00276300" w:rsidRDefault="00276300" w:rsidP="00276300">
      <w:pPr>
        <w:tabs>
          <w:tab w:val="left" w:pos="720"/>
          <w:tab w:val="left" w:pos="1440"/>
          <w:tab w:val="right" w:leader="dot" w:pos="9360"/>
        </w:tabs>
        <w:spacing w:line="216" w:lineRule="auto"/>
        <w:ind w:right="720"/>
        <w:rPr>
          <w:spacing w:val="-10"/>
          <w:sz w:val="28"/>
        </w:rPr>
      </w:pPr>
      <w:r>
        <w:rPr>
          <w:spacing w:val="-10"/>
          <w:sz w:val="28"/>
        </w:rPr>
        <w:t>Introduction….</w:t>
      </w:r>
      <w:r>
        <w:rPr>
          <w:spacing w:val="-10"/>
          <w:sz w:val="28"/>
        </w:rPr>
        <w:tab/>
        <w:t>1</w:t>
      </w:r>
    </w:p>
    <w:p w:rsidR="00276300" w:rsidRDefault="00276300" w:rsidP="00276300">
      <w:pPr>
        <w:tabs>
          <w:tab w:val="left" w:pos="720"/>
          <w:tab w:val="left" w:pos="1440"/>
          <w:tab w:val="right" w:leader="dot" w:pos="9360"/>
        </w:tabs>
        <w:spacing w:line="216" w:lineRule="auto"/>
        <w:ind w:right="720"/>
        <w:rPr>
          <w:spacing w:val="-10"/>
          <w:sz w:val="28"/>
        </w:rPr>
      </w:pPr>
    </w:p>
    <w:p w:rsidR="00276300" w:rsidRDefault="00276300" w:rsidP="00276300">
      <w:pPr>
        <w:tabs>
          <w:tab w:val="left" w:pos="720"/>
          <w:tab w:val="left" w:pos="1440"/>
          <w:tab w:val="right" w:leader="dot" w:pos="9360"/>
        </w:tabs>
        <w:spacing w:line="216" w:lineRule="auto"/>
        <w:ind w:right="720"/>
        <w:rPr>
          <w:spacing w:val="-10"/>
          <w:sz w:val="28"/>
        </w:rPr>
      </w:pPr>
      <w:r>
        <w:rPr>
          <w:spacing w:val="-10"/>
          <w:sz w:val="28"/>
        </w:rPr>
        <w:t>Statement of the Case and Facts</w:t>
      </w:r>
      <w:r>
        <w:rPr>
          <w:spacing w:val="-10"/>
          <w:sz w:val="28"/>
        </w:rPr>
        <w:tab/>
        <w:t>2</w:t>
      </w:r>
    </w:p>
    <w:p w:rsidR="00276300" w:rsidRDefault="00276300" w:rsidP="00276300">
      <w:pPr>
        <w:tabs>
          <w:tab w:val="left" w:pos="720"/>
          <w:tab w:val="left" w:pos="1440"/>
          <w:tab w:val="right" w:leader="dot" w:pos="9360"/>
        </w:tabs>
        <w:spacing w:line="216" w:lineRule="auto"/>
        <w:ind w:right="720"/>
        <w:rPr>
          <w:spacing w:val="-10"/>
          <w:sz w:val="28"/>
        </w:rPr>
      </w:pPr>
    </w:p>
    <w:p w:rsidR="00276300" w:rsidRDefault="00276300" w:rsidP="00276300">
      <w:pPr>
        <w:tabs>
          <w:tab w:val="left" w:pos="720"/>
          <w:tab w:val="left" w:pos="1440"/>
          <w:tab w:val="right" w:leader="dot" w:pos="9360"/>
        </w:tabs>
        <w:spacing w:line="216" w:lineRule="auto"/>
        <w:ind w:right="720"/>
        <w:rPr>
          <w:spacing w:val="-10"/>
          <w:sz w:val="28"/>
          <w:szCs w:val="28"/>
        </w:rPr>
      </w:pPr>
      <w:r>
        <w:rPr>
          <w:spacing w:val="-10"/>
          <w:sz w:val="28"/>
          <w:szCs w:val="28"/>
        </w:rPr>
        <w:t>Standard of Review</w:t>
      </w:r>
      <w:r>
        <w:rPr>
          <w:spacing w:val="-10"/>
          <w:sz w:val="28"/>
          <w:szCs w:val="28"/>
        </w:rPr>
        <w:tab/>
        <w:t>6</w:t>
      </w:r>
    </w:p>
    <w:p w:rsidR="00276300" w:rsidRDefault="00276300" w:rsidP="00276300">
      <w:pPr>
        <w:tabs>
          <w:tab w:val="left" w:pos="720"/>
          <w:tab w:val="left" w:pos="1440"/>
          <w:tab w:val="right" w:leader="dot" w:pos="9360"/>
        </w:tabs>
        <w:spacing w:line="216" w:lineRule="auto"/>
        <w:ind w:right="720"/>
        <w:rPr>
          <w:spacing w:val="-10"/>
          <w:sz w:val="28"/>
        </w:rPr>
      </w:pPr>
    </w:p>
    <w:p w:rsidR="00276300" w:rsidRDefault="00276300" w:rsidP="00276300">
      <w:pPr>
        <w:tabs>
          <w:tab w:val="left" w:pos="720"/>
          <w:tab w:val="left" w:pos="1440"/>
          <w:tab w:val="right" w:leader="dot" w:pos="9360"/>
        </w:tabs>
        <w:spacing w:line="216" w:lineRule="auto"/>
        <w:ind w:right="720"/>
        <w:rPr>
          <w:spacing w:val="-10"/>
          <w:sz w:val="28"/>
        </w:rPr>
      </w:pPr>
      <w:r>
        <w:rPr>
          <w:spacing w:val="-10"/>
          <w:sz w:val="28"/>
        </w:rPr>
        <w:t>Summary of the Argument</w:t>
      </w:r>
      <w:r>
        <w:rPr>
          <w:spacing w:val="-10"/>
          <w:sz w:val="28"/>
        </w:rPr>
        <w:tab/>
        <w:t>6</w:t>
      </w:r>
    </w:p>
    <w:p w:rsidR="00276300" w:rsidRDefault="00276300" w:rsidP="00276300">
      <w:pPr>
        <w:tabs>
          <w:tab w:val="left" w:pos="720"/>
          <w:tab w:val="left" w:pos="1440"/>
          <w:tab w:val="right" w:leader="dot" w:pos="9360"/>
        </w:tabs>
        <w:spacing w:line="216" w:lineRule="auto"/>
        <w:ind w:right="720"/>
        <w:rPr>
          <w:spacing w:val="-10"/>
          <w:sz w:val="28"/>
        </w:rPr>
      </w:pPr>
    </w:p>
    <w:p w:rsidR="00276300" w:rsidRDefault="00276300" w:rsidP="00276300">
      <w:pPr>
        <w:tabs>
          <w:tab w:val="left" w:pos="720"/>
          <w:tab w:val="left" w:pos="1440"/>
          <w:tab w:val="right" w:leader="dot" w:pos="9360"/>
        </w:tabs>
        <w:spacing w:line="216" w:lineRule="auto"/>
        <w:ind w:right="720"/>
        <w:rPr>
          <w:spacing w:val="-10"/>
          <w:sz w:val="28"/>
        </w:rPr>
      </w:pPr>
      <w:r>
        <w:rPr>
          <w:spacing w:val="-10"/>
          <w:sz w:val="28"/>
        </w:rPr>
        <w:t>Argument…..</w:t>
      </w:r>
      <w:r>
        <w:rPr>
          <w:spacing w:val="-10"/>
          <w:sz w:val="28"/>
        </w:rPr>
        <w:tab/>
        <w:t>8</w:t>
      </w:r>
    </w:p>
    <w:p w:rsidR="00276300" w:rsidRDefault="00276300" w:rsidP="00276300">
      <w:pPr>
        <w:pStyle w:val="BodyTextIndent"/>
        <w:tabs>
          <w:tab w:val="left" w:pos="720"/>
          <w:tab w:val="left" w:pos="1440"/>
          <w:tab w:val="right" w:leader="dot" w:pos="9360"/>
        </w:tabs>
        <w:spacing w:line="216" w:lineRule="auto"/>
        <w:ind w:right="720"/>
        <w:rPr>
          <w:spacing w:val="-10"/>
        </w:rPr>
      </w:pPr>
    </w:p>
    <w:p w:rsidR="00276300" w:rsidRDefault="00276300" w:rsidP="00276300">
      <w:pPr>
        <w:pStyle w:val="ListParagraph"/>
        <w:numPr>
          <w:ilvl w:val="0"/>
          <w:numId w:val="11"/>
        </w:numPr>
        <w:spacing w:line="240" w:lineRule="auto"/>
        <w:jc w:val="both"/>
        <w:rPr>
          <w:rFonts w:ascii="Times New Roman Bold" w:hAnsi="Times New Roman Bold"/>
          <w:b/>
          <w:caps/>
          <w:sz w:val="28"/>
          <w:szCs w:val="28"/>
        </w:rPr>
      </w:pPr>
      <w:r>
        <w:rPr>
          <w:caps/>
          <w:sz w:val="28"/>
          <w:szCs w:val="28"/>
        </w:rPr>
        <w:t>The trial court committed reversal error when it granted RCS a final judgment of foreclosure where RCS failed to prove its standing to sue</w:t>
      </w:r>
      <w:r>
        <w:rPr>
          <w:spacing w:val="-10"/>
        </w:rPr>
        <w:t>………………….…..</w:t>
      </w:r>
      <w:r>
        <w:rPr>
          <w:spacing w:val="-10"/>
          <w:sz w:val="28"/>
          <w:szCs w:val="28"/>
        </w:rPr>
        <w:t>.8</w:t>
      </w:r>
    </w:p>
    <w:p w:rsidR="00276300" w:rsidRDefault="00276300" w:rsidP="00276300">
      <w:pPr>
        <w:pStyle w:val="BodyTextIndent"/>
        <w:tabs>
          <w:tab w:val="left" w:pos="720"/>
          <w:tab w:val="left" w:pos="1440"/>
          <w:tab w:val="right" w:leader="dot" w:pos="9360"/>
        </w:tabs>
        <w:spacing w:line="216" w:lineRule="auto"/>
        <w:ind w:left="1080" w:right="720" w:firstLine="0"/>
        <w:rPr>
          <w:spacing w:val="-10"/>
        </w:rPr>
      </w:pPr>
      <w:r>
        <w:tab/>
      </w:r>
    </w:p>
    <w:p w:rsidR="00276300" w:rsidRDefault="00276300" w:rsidP="00276300">
      <w:pPr>
        <w:pStyle w:val="ListParagraph"/>
        <w:numPr>
          <w:ilvl w:val="0"/>
          <w:numId w:val="12"/>
        </w:numPr>
        <w:spacing w:line="240" w:lineRule="auto"/>
        <w:jc w:val="both"/>
        <w:rPr>
          <w:b/>
          <w:sz w:val="28"/>
          <w:szCs w:val="28"/>
        </w:rPr>
      </w:pPr>
      <w:r>
        <w:rPr>
          <w:sz w:val="28"/>
          <w:szCs w:val="28"/>
        </w:rPr>
        <w:t>As an agent acting for an undisclosed principal, RCS was required to present some evidence that the principal acquiesced to its actions</w:t>
      </w:r>
      <w:r>
        <w:rPr>
          <w:b/>
          <w:sz w:val="28"/>
          <w:szCs w:val="28"/>
        </w:rPr>
        <w:t>…………………………………………………………..….....</w:t>
      </w:r>
      <w:r>
        <w:rPr>
          <w:spacing w:val="-10"/>
          <w:sz w:val="28"/>
          <w:szCs w:val="28"/>
        </w:rPr>
        <w:t>8</w:t>
      </w:r>
    </w:p>
    <w:p w:rsidR="00276300" w:rsidRDefault="00276300" w:rsidP="00276300">
      <w:pPr>
        <w:pStyle w:val="ListParagraph"/>
        <w:spacing w:line="240" w:lineRule="auto"/>
        <w:ind w:left="1440"/>
        <w:jc w:val="both"/>
        <w:rPr>
          <w:b/>
          <w:sz w:val="28"/>
          <w:szCs w:val="28"/>
        </w:rPr>
      </w:pPr>
    </w:p>
    <w:p w:rsidR="00276300" w:rsidRDefault="00276300" w:rsidP="00276300">
      <w:pPr>
        <w:pStyle w:val="ListParagraph"/>
        <w:numPr>
          <w:ilvl w:val="0"/>
          <w:numId w:val="12"/>
        </w:numPr>
        <w:spacing w:line="240" w:lineRule="auto"/>
        <w:jc w:val="both"/>
        <w:rPr>
          <w:b/>
          <w:sz w:val="28"/>
          <w:szCs w:val="28"/>
        </w:rPr>
      </w:pPr>
      <w:r>
        <w:rPr>
          <w:sz w:val="28"/>
          <w:szCs w:val="28"/>
        </w:rPr>
        <w:t>Because the promissory note is not negotiable, RCS’s mere possession alone did not confer onto it standing to sue</w:t>
      </w:r>
      <w:r>
        <w:rPr>
          <w:b/>
          <w:sz w:val="28"/>
          <w:szCs w:val="28"/>
        </w:rPr>
        <w:t>………………………....</w:t>
      </w:r>
      <w:r>
        <w:rPr>
          <w:sz w:val="28"/>
          <w:szCs w:val="28"/>
        </w:rPr>
        <w:t>13</w:t>
      </w:r>
    </w:p>
    <w:p w:rsidR="00276300" w:rsidRDefault="00276300" w:rsidP="00276300">
      <w:pPr>
        <w:pStyle w:val="ListParagraph"/>
        <w:rPr>
          <w:b/>
          <w:sz w:val="28"/>
          <w:szCs w:val="28"/>
        </w:rPr>
      </w:pPr>
    </w:p>
    <w:p w:rsidR="00276300" w:rsidRDefault="00276300" w:rsidP="00276300">
      <w:pPr>
        <w:pStyle w:val="ListParagraph"/>
        <w:numPr>
          <w:ilvl w:val="0"/>
          <w:numId w:val="13"/>
        </w:numPr>
        <w:spacing w:line="240" w:lineRule="auto"/>
        <w:jc w:val="both"/>
        <w:rPr>
          <w:sz w:val="28"/>
          <w:szCs w:val="28"/>
        </w:rPr>
      </w:pPr>
      <w:r>
        <w:rPr>
          <w:sz w:val="28"/>
          <w:szCs w:val="28"/>
        </w:rPr>
        <w:t>The promissory note contains instructions and undertakings other than the payment of money…………………………….14</w:t>
      </w:r>
    </w:p>
    <w:p w:rsidR="00276300" w:rsidRDefault="00276300" w:rsidP="00276300">
      <w:pPr>
        <w:pStyle w:val="ListParagraph"/>
        <w:spacing w:line="240" w:lineRule="auto"/>
        <w:ind w:left="2160"/>
        <w:jc w:val="both"/>
        <w:rPr>
          <w:b/>
          <w:sz w:val="28"/>
          <w:szCs w:val="28"/>
        </w:rPr>
      </w:pPr>
    </w:p>
    <w:p w:rsidR="00276300" w:rsidRDefault="00276300" w:rsidP="00276300">
      <w:pPr>
        <w:pStyle w:val="ListParagraph"/>
        <w:numPr>
          <w:ilvl w:val="0"/>
          <w:numId w:val="13"/>
        </w:numPr>
        <w:spacing w:line="240" w:lineRule="auto"/>
        <w:jc w:val="both"/>
        <w:rPr>
          <w:sz w:val="28"/>
          <w:szCs w:val="28"/>
        </w:rPr>
      </w:pPr>
      <w:r>
        <w:rPr>
          <w:sz w:val="28"/>
          <w:szCs w:val="28"/>
        </w:rPr>
        <w:t>Integrating the terms of the mortgage into enforcement of the promissory note destroys any negotiability the note might have…………………………………………………………...19</w:t>
      </w:r>
    </w:p>
    <w:p w:rsidR="00276300" w:rsidRDefault="00276300" w:rsidP="00276300">
      <w:pPr>
        <w:pStyle w:val="ListParagraph"/>
        <w:spacing w:line="240" w:lineRule="auto"/>
        <w:ind w:left="1440"/>
        <w:jc w:val="both"/>
        <w:rPr>
          <w:b/>
          <w:sz w:val="28"/>
          <w:szCs w:val="28"/>
        </w:rPr>
      </w:pPr>
    </w:p>
    <w:p w:rsidR="00276300" w:rsidRDefault="00276300" w:rsidP="00276300">
      <w:pPr>
        <w:pStyle w:val="ListParagraph"/>
        <w:numPr>
          <w:ilvl w:val="0"/>
          <w:numId w:val="12"/>
        </w:numPr>
        <w:spacing w:line="240" w:lineRule="auto"/>
        <w:jc w:val="both"/>
        <w:rPr>
          <w:sz w:val="28"/>
          <w:szCs w:val="28"/>
        </w:rPr>
      </w:pPr>
      <w:r>
        <w:rPr>
          <w:sz w:val="28"/>
          <w:szCs w:val="28"/>
        </w:rPr>
        <w:t xml:space="preserve">Assuming, </w:t>
      </w:r>
      <w:r>
        <w:rPr>
          <w:i/>
          <w:sz w:val="28"/>
          <w:szCs w:val="28"/>
        </w:rPr>
        <w:t>arguendo</w:t>
      </w:r>
      <w:r>
        <w:rPr>
          <w:sz w:val="28"/>
          <w:szCs w:val="28"/>
        </w:rPr>
        <w:t>, that the promissory note is negotiable, RCS was not the holder because the note was constructively delivered to its undisclosed principal………………………………………………...21</w:t>
      </w:r>
    </w:p>
    <w:p w:rsidR="00276300" w:rsidRDefault="00276300" w:rsidP="00276300">
      <w:pPr>
        <w:pStyle w:val="BodyTextIndent2"/>
        <w:tabs>
          <w:tab w:val="left" w:pos="720"/>
          <w:tab w:val="left" w:pos="1440"/>
          <w:tab w:val="right" w:leader="dot" w:pos="9360"/>
        </w:tabs>
        <w:spacing w:line="216" w:lineRule="auto"/>
        <w:ind w:right="720" w:firstLine="0"/>
        <w:rPr>
          <w:b w:val="0"/>
          <w:spacing w:val="-10"/>
        </w:rPr>
      </w:pPr>
    </w:p>
    <w:p w:rsidR="00276300" w:rsidRDefault="00276300" w:rsidP="00276300">
      <w:pPr>
        <w:pStyle w:val="ListParagraph"/>
        <w:numPr>
          <w:ilvl w:val="0"/>
          <w:numId w:val="11"/>
        </w:numPr>
        <w:spacing w:line="240" w:lineRule="auto"/>
        <w:jc w:val="both"/>
        <w:rPr>
          <w:caps/>
          <w:sz w:val="28"/>
          <w:szCs w:val="28"/>
        </w:rPr>
      </w:pPr>
      <w:r>
        <w:rPr>
          <w:caps/>
          <w:sz w:val="28"/>
          <w:szCs w:val="28"/>
        </w:rPr>
        <w:t xml:space="preserve">The trial court committed reversal error when it sustained RCS’s objection to the assignment…….…..24 </w:t>
      </w:r>
    </w:p>
    <w:p w:rsidR="00276300" w:rsidRDefault="00276300" w:rsidP="00276300">
      <w:pPr>
        <w:pStyle w:val="ListParagraph"/>
        <w:spacing w:line="240" w:lineRule="auto"/>
        <w:ind w:left="1080"/>
        <w:jc w:val="both"/>
        <w:rPr>
          <w:caps/>
          <w:sz w:val="28"/>
          <w:szCs w:val="28"/>
        </w:rPr>
      </w:pPr>
    </w:p>
    <w:p w:rsidR="00276300" w:rsidRDefault="00276300" w:rsidP="00276300">
      <w:pPr>
        <w:pStyle w:val="ListParagraph"/>
        <w:numPr>
          <w:ilvl w:val="0"/>
          <w:numId w:val="14"/>
        </w:numPr>
        <w:spacing w:line="240" w:lineRule="auto"/>
        <w:jc w:val="both"/>
        <w:rPr>
          <w:sz w:val="28"/>
          <w:szCs w:val="28"/>
        </w:rPr>
      </w:pPr>
      <w:r>
        <w:rPr>
          <w:sz w:val="28"/>
          <w:szCs w:val="28"/>
        </w:rPr>
        <w:lastRenderedPageBreak/>
        <w:t>The assignment tended to disprove a material fact – that AHMSI “possessed” the note at the inception of the action………………….25</w:t>
      </w:r>
    </w:p>
    <w:p w:rsidR="00276300" w:rsidRDefault="00276300" w:rsidP="00276300">
      <w:pPr>
        <w:pStyle w:val="ListParagraph"/>
        <w:spacing w:line="240" w:lineRule="auto"/>
        <w:ind w:left="1440"/>
        <w:jc w:val="both"/>
        <w:rPr>
          <w:sz w:val="28"/>
          <w:szCs w:val="28"/>
        </w:rPr>
      </w:pPr>
    </w:p>
    <w:p w:rsidR="00276300" w:rsidRDefault="00276300" w:rsidP="00276300">
      <w:pPr>
        <w:pStyle w:val="ListParagraph"/>
        <w:numPr>
          <w:ilvl w:val="0"/>
          <w:numId w:val="14"/>
        </w:numPr>
        <w:spacing w:line="240" w:lineRule="auto"/>
        <w:jc w:val="both"/>
        <w:rPr>
          <w:sz w:val="28"/>
          <w:szCs w:val="28"/>
        </w:rPr>
      </w:pPr>
      <w:r>
        <w:rPr>
          <w:sz w:val="28"/>
          <w:szCs w:val="28"/>
        </w:rPr>
        <w:t>The probative value of the assignment outweighed any argument against introduction……………………………………………….…26</w:t>
      </w:r>
    </w:p>
    <w:p w:rsidR="00276300" w:rsidRDefault="00276300" w:rsidP="00276300">
      <w:pPr>
        <w:pStyle w:val="ListParagraph"/>
        <w:spacing w:line="240" w:lineRule="auto"/>
        <w:ind w:left="1440"/>
        <w:jc w:val="both"/>
        <w:rPr>
          <w:sz w:val="28"/>
          <w:szCs w:val="28"/>
        </w:rPr>
      </w:pPr>
    </w:p>
    <w:p w:rsidR="00276300" w:rsidRDefault="00276300" w:rsidP="00276300">
      <w:pPr>
        <w:pStyle w:val="ListParagraph"/>
        <w:numPr>
          <w:ilvl w:val="0"/>
          <w:numId w:val="14"/>
        </w:numPr>
        <w:spacing w:line="240" w:lineRule="auto"/>
        <w:jc w:val="both"/>
        <w:rPr>
          <w:sz w:val="28"/>
          <w:szCs w:val="28"/>
        </w:rPr>
      </w:pPr>
      <w:r>
        <w:rPr>
          <w:sz w:val="28"/>
          <w:szCs w:val="28"/>
        </w:rPr>
        <w:t>Refusing to admit the relevant assignment was not a harmless error……………………………………………………………….....27</w:t>
      </w:r>
    </w:p>
    <w:p w:rsidR="00276300" w:rsidRDefault="00276300" w:rsidP="00276300">
      <w:pPr>
        <w:pStyle w:val="ListParagraph"/>
        <w:spacing w:line="240" w:lineRule="auto"/>
        <w:ind w:left="1440"/>
        <w:jc w:val="both"/>
        <w:rPr>
          <w:b/>
          <w:sz w:val="28"/>
          <w:szCs w:val="28"/>
        </w:rPr>
      </w:pPr>
    </w:p>
    <w:p w:rsidR="00276300" w:rsidRDefault="00276300" w:rsidP="00276300">
      <w:pPr>
        <w:pStyle w:val="ListParagraph"/>
        <w:numPr>
          <w:ilvl w:val="0"/>
          <w:numId w:val="11"/>
        </w:numPr>
        <w:spacing w:line="240" w:lineRule="auto"/>
        <w:jc w:val="both"/>
        <w:rPr>
          <w:caps/>
          <w:sz w:val="28"/>
          <w:szCs w:val="28"/>
        </w:rPr>
      </w:pPr>
      <w:r>
        <w:rPr>
          <w:caps/>
          <w:sz w:val="28"/>
          <w:szCs w:val="28"/>
        </w:rPr>
        <w:t>The trial court committed reversal error when it overruled Homeowners’ objection to the AHMSI witness’s testimony regarding possession of the note……………………………………………………………….......28</w:t>
      </w:r>
    </w:p>
    <w:p w:rsidR="00276300" w:rsidRDefault="00276300" w:rsidP="00276300">
      <w:pPr>
        <w:pStyle w:val="ListParagraph"/>
        <w:spacing w:line="240" w:lineRule="auto"/>
        <w:ind w:left="1080"/>
        <w:jc w:val="both"/>
        <w:rPr>
          <w:caps/>
          <w:sz w:val="28"/>
          <w:szCs w:val="28"/>
        </w:rPr>
      </w:pPr>
    </w:p>
    <w:p w:rsidR="00276300" w:rsidRDefault="00276300" w:rsidP="00276300">
      <w:pPr>
        <w:pStyle w:val="ListParagraph"/>
        <w:numPr>
          <w:ilvl w:val="0"/>
          <w:numId w:val="15"/>
        </w:numPr>
        <w:spacing w:line="240" w:lineRule="auto"/>
        <w:jc w:val="both"/>
        <w:rPr>
          <w:sz w:val="28"/>
          <w:szCs w:val="28"/>
        </w:rPr>
      </w:pPr>
      <w:r>
        <w:rPr>
          <w:sz w:val="28"/>
          <w:szCs w:val="28"/>
        </w:rPr>
        <w:t>The witness admitted she had no personal knowledge that AHMSI had possession of the note prior to the inception of the lawsuit…………29</w:t>
      </w:r>
    </w:p>
    <w:p w:rsidR="00276300" w:rsidRDefault="00276300" w:rsidP="00276300">
      <w:pPr>
        <w:pStyle w:val="ListParagraph"/>
        <w:spacing w:line="240" w:lineRule="auto"/>
        <w:ind w:left="1440"/>
        <w:jc w:val="both"/>
        <w:rPr>
          <w:sz w:val="28"/>
          <w:szCs w:val="28"/>
        </w:rPr>
      </w:pPr>
    </w:p>
    <w:p w:rsidR="00276300" w:rsidRDefault="00276300" w:rsidP="00276300">
      <w:pPr>
        <w:pStyle w:val="ListParagraph"/>
        <w:numPr>
          <w:ilvl w:val="0"/>
          <w:numId w:val="15"/>
        </w:numPr>
        <w:spacing w:line="240" w:lineRule="auto"/>
        <w:jc w:val="both"/>
        <w:rPr>
          <w:sz w:val="28"/>
          <w:szCs w:val="28"/>
        </w:rPr>
      </w:pPr>
      <w:r>
        <w:rPr>
          <w:sz w:val="28"/>
          <w:szCs w:val="28"/>
        </w:rPr>
        <w:t xml:space="preserve">Because the witness’s “business records” were not introduced into evidence, the records were inadmissible and unauthenticated hearsay statements……………………………………………………………29  </w:t>
      </w:r>
    </w:p>
    <w:p w:rsidR="00276300" w:rsidRDefault="00276300" w:rsidP="00276300">
      <w:pPr>
        <w:pStyle w:val="ListParagraph"/>
        <w:spacing w:line="240" w:lineRule="auto"/>
        <w:ind w:left="1440"/>
        <w:jc w:val="both"/>
        <w:rPr>
          <w:sz w:val="28"/>
          <w:szCs w:val="28"/>
        </w:rPr>
      </w:pPr>
    </w:p>
    <w:p w:rsidR="00276300" w:rsidRDefault="00276300" w:rsidP="00276300">
      <w:pPr>
        <w:pStyle w:val="ListParagraph"/>
        <w:numPr>
          <w:ilvl w:val="0"/>
          <w:numId w:val="15"/>
        </w:numPr>
        <w:spacing w:line="240" w:lineRule="auto"/>
        <w:jc w:val="both"/>
        <w:rPr>
          <w:sz w:val="28"/>
          <w:szCs w:val="28"/>
        </w:rPr>
      </w:pPr>
      <w:r>
        <w:rPr>
          <w:sz w:val="28"/>
          <w:szCs w:val="28"/>
        </w:rPr>
        <w:t xml:space="preserve">Permitting the testimony was not a harmless error because RCS was required to prove under </w:t>
      </w:r>
      <w:r w:rsidRPr="00D91F2D">
        <w:rPr>
          <w:i/>
          <w:sz w:val="28"/>
          <w:szCs w:val="28"/>
        </w:rPr>
        <w:t>Feltus</w:t>
      </w:r>
      <w:r>
        <w:rPr>
          <w:sz w:val="28"/>
          <w:szCs w:val="28"/>
        </w:rPr>
        <w:t xml:space="preserve"> that the blank endorsement was effectuated prior to the lawsuit being filed……………………….....31</w:t>
      </w:r>
    </w:p>
    <w:p w:rsidR="00276300" w:rsidRDefault="00276300" w:rsidP="00276300">
      <w:pPr>
        <w:pStyle w:val="ListParagraph"/>
        <w:tabs>
          <w:tab w:val="left" w:pos="720"/>
          <w:tab w:val="left" w:pos="1440"/>
          <w:tab w:val="right" w:leader="dot" w:pos="9360"/>
        </w:tabs>
        <w:ind w:left="144"/>
        <w:jc w:val="both"/>
        <w:rPr>
          <w:b/>
          <w:caps/>
          <w:spacing w:val="-10"/>
          <w:sz w:val="28"/>
        </w:rPr>
      </w:pPr>
    </w:p>
    <w:p w:rsidR="00276300" w:rsidRDefault="00276300" w:rsidP="00276300">
      <w:pPr>
        <w:pStyle w:val="Heading3"/>
        <w:keepNext w:val="0"/>
        <w:tabs>
          <w:tab w:val="right" w:leader="dot" w:pos="9360"/>
        </w:tabs>
        <w:spacing w:line="216" w:lineRule="auto"/>
        <w:ind w:right="720"/>
        <w:jc w:val="left"/>
        <w:rPr>
          <w:b w:val="0"/>
          <w:spacing w:val="-10"/>
        </w:rPr>
      </w:pPr>
      <w:r w:rsidRPr="00671662">
        <w:rPr>
          <w:b w:val="0"/>
          <w:smallCaps w:val="0"/>
          <w:spacing w:val="-10"/>
        </w:rPr>
        <w:t>Conclusion</w:t>
      </w:r>
      <w:r>
        <w:rPr>
          <w:b w:val="0"/>
          <w:spacing w:val="-10"/>
        </w:rPr>
        <w:tab/>
        <w:t>33</w:t>
      </w:r>
    </w:p>
    <w:p w:rsidR="00276300" w:rsidRDefault="00276300" w:rsidP="00276300"/>
    <w:p w:rsidR="00276300" w:rsidRDefault="00276300" w:rsidP="00276300">
      <w:pPr>
        <w:tabs>
          <w:tab w:val="left" w:pos="720"/>
          <w:tab w:val="left" w:pos="1440"/>
          <w:tab w:val="right" w:leader="dot" w:pos="9360"/>
        </w:tabs>
        <w:spacing w:line="216" w:lineRule="auto"/>
        <w:ind w:right="720"/>
        <w:rPr>
          <w:spacing w:val="-10"/>
          <w:sz w:val="28"/>
        </w:rPr>
      </w:pPr>
      <w:r>
        <w:rPr>
          <w:spacing w:val="-10"/>
          <w:sz w:val="28"/>
        </w:rPr>
        <w:t>Certificate of Service</w:t>
      </w:r>
      <w:r>
        <w:rPr>
          <w:spacing w:val="-10"/>
          <w:sz w:val="28"/>
        </w:rPr>
        <w:tab/>
        <w:t>33</w:t>
      </w:r>
    </w:p>
    <w:p w:rsidR="00276300" w:rsidRDefault="00276300" w:rsidP="00276300">
      <w:pPr>
        <w:tabs>
          <w:tab w:val="left" w:pos="720"/>
          <w:tab w:val="left" w:pos="1440"/>
          <w:tab w:val="right" w:leader="dot" w:pos="9360"/>
        </w:tabs>
        <w:spacing w:line="216" w:lineRule="auto"/>
        <w:ind w:right="720"/>
        <w:rPr>
          <w:spacing w:val="-10"/>
          <w:sz w:val="28"/>
        </w:rPr>
      </w:pPr>
    </w:p>
    <w:p w:rsidR="00276300" w:rsidRDefault="00276300" w:rsidP="00276300">
      <w:pPr>
        <w:tabs>
          <w:tab w:val="left" w:pos="720"/>
          <w:tab w:val="left" w:pos="1440"/>
          <w:tab w:val="right" w:leader="dot" w:pos="9360"/>
        </w:tabs>
        <w:spacing w:line="216" w:lineRule="auto"/>
        <w:ind w:right="720"/>
        <w:rPr>
          <w:spacing w:val="-10"/>
          <w:sz w:val="28"/>
        </w:rPr>
      </w:pPr>
      <w:r>
        <w:rPr>
          <w:spacing w:val="-10"/>
          <w:sz w:val="28"/>
        </w:rPr>
        <w:t>Certificate of Compliance</w:t>
      </w:r>
      <w:r>
        <w:rPr>
          <w:spacing w:val="-10"/>
          <w:sz w:val="28"/>
        </w:rPr>
        <w:tab/>
        <w:t>34</w:t>
      </w:r>
    </w:p>
    <w:p w:rsidR="00276300" w:rsidRDefault="00276300" w:rsidP="00276300">
      <w:pPr>
        <w:spacing w:line="216" w:lineRule="auto"/>
        <w:jc w:val="center"/>
        <w:rPr>
          <w:b/>
          <w:caps/>
          <w:spacing w:val="-10"/>
          <w:sz w:val="28"/>
          <w:szCs w:val="28"/>
        </w:rPr>
      </w:pPr>
    </w:p>
    <w:p w:rsidR="00276300" w:rsidRDefault="00276300" w:rsidP="00276300">
      <w:pPr>
        <w:spacing w:line="216" w:lineRule="auto"/>
        <w:jc w:val="center"/>
        <w:rPr>
          <w:b/>
          <w:caps/>
          <w:spacing w:val="-10"/>
          <w:sz w:val="28"/>
          <w:szCs w:val="28"/>
        </w:rPr>
      </w:pPr>
    </w:p>
    <w:p w:rsidR="00276300" w:rsidRDefault="00276300" w:rsidP="00276300">
      <w:pPr>
        <w:spacing w:line="216" w:lineRule="auto"/>
        <w:jc w:val="center"/>
        <w:rPr>
          <w:b/>
          <w:caps/>
          <w:spacing w:val="-10"/>
          <w:sz w:val="28"/>
          <w:szCs w:val="28"/>
        </w:rPr>
      </w:pPr>
    </w:p>
    <w:p w:rsidR="00276300" w:rsidRDefault="00276300" w:rsidP="00276300">
      <w:pPr>
        <w:spacing w:line="216" w:lineRule="auto"/>
        <w:jc w:val="center"/>
        <w:rPr>
          <w:b/>
          <w:caps/>
          <w:spacing w:val="-10"/>
          <w:sz w:val="28"/>
          <w:szCs w:val="28"/>
        </w:rPr>
      </w:pPr>
    </w:p>
    <w:p w:rsidR="00276300" w:rsidRDefault="00276300" w:rsidP="00276300">
      <w:pPr>
        <w:spacing w:line="216" w:lineRule="auto"/>
        <w:jc w:val="center"/>
        <w:rPr>
          <w:b/>
          <w:caps/>
          <w:spacing w:val="-10"/>
          <w:sz w:val="28"/>
          <w:szCs w:val="28"/>
        </w:rPr>
      </w:pPr>
    </w:p>
    <w:p w:rsidR="00276300" w:rsidRDefault="00276300" w:rsidP="00276300">
      <w:pPr>
        <w:spacing w:line="216" w:lineRule="auto"/>
        <w:jc w:val="center"/>
        <w:rPr>
          <w:b/>
          <w:caps/>
          <w:spacing w:val="-10"/>
          <w:sz w:val="28"/>
          <w:szCs w:val="28"/>
        </w:rPr>
      </w:pPr>
    </w:p>
    <w:p w:rsidR="00276300" w:rsidRDefault="00276300" w:rsidP="00276300">
      <w:pPr>
        <w:spacing w:line="216" w:lineRule="auto"/>
        <w:jc w:val="center"/>
        <w:rPr>
          <w:b/>
          <w:caps/>
          <w:spacing w:val="-10"/>
          <w:sz w:val="28"/>
          <w:szCs w:val="28"/>
        </w:rPr>
      </w:pPr>
    </w:p>
    <w:p w:rsidR="00276300" w:rsidRDefault="00276300" w:rsidP="00276300">
      <w:pPr>
        <w:spacing w:line="216" w:lineRule="auto"/>
        <w:jc w:val="center"/>
        <w:rPr>
          <w:b/>
          <w:caps/>
          <w:spacing w:val="-10"/>
          <w:sz w:val="28"/>
          <w:szCs w:val="28"/>
        </w:rPr>
      </w:pPr>
    </w:p>
    <w:p w:rsidR="00276300" w:rsidRDefault="00276300" w:rsidP="00276300">
      <w:pPr>
        <w:spacing w:line="216" w:lineRule="auto"/>
        <w:jc w:val="center"/>
        <w:rPr>
          <w:b/>
          <w:caps/>
          <w:spacing w:val="-10"/>
          <w:sz w:val="28"/>
          <w:szCs w:val="28"/>
        </w:rPr>
      </w:pPr>
    </w:p>
    <w:p w:rsidR="00276300" w:rsidRDefault="00276300" w:rsidP="00276300">
      <w:pPr>
        <w:spacing w:line="216" w:lineRule="auto"/>
        <w:jc w:val="center"/>
        <w:rPr>
          <w:b/>
          <w:caps/>
          <w:spacing w:val="-10"/>
          <w:sz w:val="28"/>
          <w:szCs w:val="28"/>
        </w:rPr>
      </w:pPr>
    </w:p>
    <w:p w:rsidR="00276300" w:rsidRDefault="00276300" w:rsidP="00276300">
      <w:pPr>
        <w:spacing w:line="216" w:lineRule="auto"/>
        <w:jc w:val="center"/>
        <w:rPr>
          <w:b/>
          <w:caps/>
          <w:spacing w:val="-10"/>
          <w:sz w:val="28"/>
          <w:szCs w:val="28"/>
        </w:rPr>
      </w:pPr>
    </w:p>
    <w:p w:rsidR="00276300" w:rsidRDefault="00276300" w:rsidP="00276300">
      <w:pPr>
        <w:spacing w:line="216" w:lineRule="auto"/>
        <w:jc w:val="center"/>
        <w:rPr>
          <w:b/>
          <w:caps/>
          <w:spacing w:val="-10"/>
          <w:sz w:val="28"/>
          <w:szCs w:val="28"/>
        </w:rPr>
      </w:pPr>
      <w:r>
        <w:rPr>
          <w:b/>
          <w:caps/>
          <w:spacing w:val="-10"/>
          <w:sz w:val="28"/>
          <w:szCs w:val="28"/>
        </w:rPr>
        <w:lastRenderedPageBreak/>
        <w:t>Table of Authorities</w:t>
      </w:r>
    </w:p>
    <w:p w:rsidR="00276300" w:rsidRDefault="00276300" w:rsidP="00276300">
      <w:pPr>
        <w:spacing w:line="216" w:lineRule="auto"/>
        <w:rPr>
          <w:b/>
          <w:smallCaps/>
          <w:spacing w:val="-10"/>
          <w:sz w:val="28"/>
          <w:szCs w:val="28"/>
          <w:u w:val="single"/>
        </w:rPr>
      </w:pPr>
    </w:p>
    <w:p w:rsidR="00276300" w:rsidRDefault="00276300" w:rsidP="00276300">
      <w:pPr>
        <w:pStyle w:val="FootnoteText"/>
        <w:tabs>
          <w:tab w:val="right" w:leader="dot" w:pos="9360"/>
        </w:tabs>
        <w:jc w:val="center"/>
        <w:rPr>
          <w:b/>
          <w:caps/>
          <w:spacing w:val="-10"/>
          <w:sz w:val="28"/>
          <w:szCs w:val="28"/>
        </w:rPr>
      </w:pPr>
      <w:r>
        <w:rPr>
          <w:b/>
          <w:caps/>
          <w:spacing w:val="-10"/>
          <w:sz w:val="28"/>
          <w:szCs w:val="28"/>
        </w:rPr>
        <w:t>Cases</w:t>
      </w:r>
    </w:p>
    <w:p w:rsidR="00276300" w:rsidRDefault="00276300" w:rsidP="00276300">
      <w:pPr>
        <w:pStyle w:val="FootnoteText"/>
        <w:tabs>
          <w:tab w:val="right" w:leader="dot" w:pos="9360"/>
        </w:tabs>
        <w:jc w:val="center"/>
        <w:rPr>
          <w:b/>
          <w:caps/>
          <w:spacing w:val="-10"/>
          <w:sz w:val="28"/>
          <w:szCs w:val="28"/>
        </w:rPr>
      </w:pPr>
    </w:p>
    <w:p w:rsidR="00276300" w:rsidRDefault="00276300" w:rsidP="00276300">
      <w:pPr>
        <w:pStyle w:val="FootnoteText"/>
        <w:tabs>
          <w:tab w:val="right" w:leader="dot" w:pos="9360"/>
        </w:tabs>
        <w:rPr>
          <w:spacing w:val="-10"/>
          <w:sz w:val="28"/>
          <w:szCs w:val="28"/>
        </w:rPr>
      </w:pPr>
      <w:r>
        <w:rPr>
          <w:i/>
          <w:sz w:val="28"/>
          <w:szCs w:val="28"/>
        </w:rPr>
        <w:t>American Bank of the South v. Rothenberg</w:t>
      </w:r>
      <w:r>
        <w:rPr>
          <w:spacing w:val="-10"/>
          <w:sz w:val="28"/>
          <w:szCs w:val="28"/>
        </w:rPr>
        <w:t>,</w:t>
      </w:r>
    </w:p>
    <w:p w:rsidR="00276300" w:rsidRDefault="00276300" w:rsidP="00276300">
      <w:pPr>
        <w:pStyle w:val="FootnoteText"/>
        <w:tabs>
          <w:tab w:val="right" w:leader="dot" w:pos="9360"/>
        </w:tabs>
        <w:rPr>
          <w:spacing w:val="-10"/>
          <w:sz w:val="28"/>
          <w:szCs w:val="28"/>
        </w:rPr>
      </w:pPr>
      <w:r>
        <w:rPr>
          <w:spacing w:val="-10"/>
          <w:sz w:val="28"/>
          <w:szCs w:val="28"/>
        </w:rPr>
        <w:t xml:space="preserve"> </w:t>
      </w:r>
      <w:r>
        <w:rPr>
          <w:sz w:val="28"/>
          <w:szCs w:val="28"/>
        </w:rPr>
        <w:t>598 So. 2d 289 (Fla. 5th DCA 1992)</w:t>
      </w:r>
      <w:r>
        <w:rPr>
          <w:spacing w:val="-10"/>
          <w:sz w:val="28"/>
          <w:szCs w:val="28"/>
        </w:rPr>
        <w:tab/>
        <w:t>15-16, 18</w:t>
      </w:r>
    </w:p>
    <w:p w:rsidR="00276300" w:rsidRDefault="00276300" w:rsidP="00276300">
      <w:pPr>
        <w:pStyle w:val="FootnoteText"/>
        <w:tabs>
          <w:tab w:val="right" w:leader="dot" w:pos="9360"/>
        </w:tabs>
        <w:rPr>
          <w:i/>
          <w:sz w:val="28"/>
          <w:szCs w:val="28"/>
        </w:rPr>
      </w:pPr>
    </w:p>
    <w:p w:rsidR="00276300" w:rsidRDefault="00276300" w:rsidP="00276300">
      <w:pPr>
        <w:pStyle w:val="FootnoteText"/>
        <w:tabs>
          <w:tab w:val="right" w:leader="dot" w:pos="9360"/>
        </w:tabs>
        <w:rPr>
          <w:spacing w:val="-10"/>
          <w:sz w:val="28"/>
          <w:szCs w:val="28"/>
        </w:rPr>
      </w:pPr>
      <w:r>
        <w:rPr>
          <w:i/>
          <w:sz w:val="28"/>
          <w:szCs w:val="28"/>
        </w:rPr>
        <w:t>Bolin v. State</w:t>
      </w:r>
      <w:r>
        <w:rPr>
          <w:sz w:val="28"/>
          <w:szCs w:val="28"/>
        </w:rPr>
        <w:t>,</w:t>
      </w:r>
    </w:p>
    <w:p w:rsidR="00276300" w:rsidRDefault="00276300" w:rsidP="00276300">
      <w:pPr>
        <w:pStyle w:val="FootnoteText"/>
        <w:tabs>
          <w:tab w:val="right" w:leader="dot" w:pos="9360"/>
        </w:tabs>
        <w:rPr>
          <w:spacing w:val="-10"/>
          <w:sz w:val="28"/>
          <w:szCs w:val="28"/>
        </w:rPr>
      </w:pPr>
      <w:r>
        <w:rPr>
          <w:spacing w:val="-10"/>
          <w:sz w:val="28"/>
          <w:szCs w:val="28"/>
        </w:rPr>
        <w:t xml:space="preserve"> </w:t>
      </w:r>
      <w:r>
        <w:rPr>
          <w:sz w:val="28"/>
          <w:szCs w:val="28"/>
        </w:rPr>
        <w:t>736 So. 2d 1160 (Fla. 1999)</w:t>
      </w:r>
      <w:r>
        <w:rPr>
          <w:spacing w:val="-10"/>
          <w:sz w:val="28"/>
          <w:szCs w:val="28"/>
        </w:rPr>
        <w:tab/>
        <w:t>30</w:t>
      </w:r>
    </w:p>
    <w:p w:rsidR="00276300" w:rsidRDefault="00276300" w:rsidP="00276300">
      <w:pPr>
        <w:pStyle w:val="FootnoteText"/>
        <w:tabs>
          <w:tab w:val="right" w:leader="dot" w:pos="9360"/>
        </w:tabs>
        <w:rPr>
          <w:i/>
          <w:sz w:val="28"/>
          <w:szCs w:val="28"/>
        </w:rPr>
      </w:pPr>
    </w:p>
    <w:p w:rsidR="00276300" w:rsidRDefault="00276300" w:rsidP="00276300">
      <w:pPr>
        <w:pStyle w:val="FootnoteText"/>
        <w:tabs>
          <w:tab w:val="right" w:leader="dot" w:pos="9360"/>
        </w:tabs>
        <w:rPr>
          <w:spacing w:val="-10"/>
          <w:sz w:val="28"/>
          <w:szCs w:val="28"/>
        </w:rPr>
      </w:pPr>
      <w:r>
        <w:rPr>
          <w:i/>
          <w:sz w:val="28"/>
          <w:szCs w:val="28"/>
        </w:rPr>
        <w:t>Carpenter v. State</w:t>
      </w:r>
      <w:r>
        <w:rPr>
          <w:sz w:val="28"/>
          <w:szCs w:val="28"/>
        </w:rPr>
        <w:t>,</w:t>
      </w:r>
    </w:p>
    <w:p w:rsidR="00276300" w:rsidRDefault="00276300" w:rsidP="00276300">
      <w:pPr>
        <w:pStyle w:val="FootnoteText"/>
        <w:tabs>
          <w:tab w:val="right" w:leader="dot" w:pos="9360"/>
        </w:tabs>
        <w:rPr>
          <w:spacing w:val="-10"/>
          <w:sz w:val="28"/>
          <w:szCs w:val="28"/>
        </w:rPr>
      </w:pPr>
      <w:r>
        <w:rPr>
          <w:spacing w:val="-10"/>
          <w:sz w:val="28"/>
          <w:szCs w:val="28"/>
        </w:rPr>
        <w:t xml:space="preserve"> </w:t>
      </w:r>
      <w:r>
        <w:rPr>
          <w:sz w:val="28"/>
          <w:szCs w:val="28"/>
        </w:rPr>
        <w:t>785 So. 2d 1182, 1201 (Fla. 2001)</w:t>
      </w:r>
      <w:r>
        <w:rPr>
          <w:spacing w:val="-10"/>
          <w:sz w:val="28"/>
          <w:szCs w:val="28"/>
        </w:rPr>
        <w:tab/>
        <w:t>6</w:t>
      </w: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r>
        <w:rPr>
          <w:i/>
          <w:sz w:val="28"/>
          <w:szCs w:val="28"/>
        </w:rPr>
        <w:t>Country Place Cmty. Ass’n v. J.P. Morgan Mortg. Acquisition Corp.</w:t>
      </w:r>
      <w:r>
        <w:rPr>
          <w:spacing w:val="-10"/>
          <w:sz w:val="28"/>
          <w:szCs w:val="28"/>
        </w:rPr>
        <w:t xml:space="preserve">, </w:t>
      </w:r>
    </w:p>
    <w:p w:rsidR="00276300" w:rsidRDefault="00276300" w:rsidP="00276300">
      <w:pPr>
        <w:pStyle w:val="FootnoteText"/>
        <w:tabs>
          <w:tab w:val="right" w:leader="dot" w:pos="9360"/>
        </w:tabs>
        <w:rPr>
          <w:spacing w:val="-10"/>
          <w:sz w:val="28"/>
          <w:szCs w:val="28"/>
        </w:rPr>
      </w:pPr>
      <w:r>
        <w:rPr>
          <w:spacing w:val="-10"/>
          <w:sz w:val="28"/>
          <w:szCs w:val="28"/>
        </w:rPr>
        <w:t xml:space="preserve"> </w:t>
      </w:r>
      <w:r>
        <w:rPr>
          <w:sz w:val="28"/>
          <w:szCs w:val="28"/>
        </w:rPr>
        <w:t>51 So. 3d 1176 (Fla. 2d DCA 2010)</w:t>
      </w:r>
      <w:r>
        <w:rPr>
          <w:spacing w:val="-10"/>
          <w:sz w:val="28"/>
          <w:szCs w:val="28"/>
        </w:rPr>
        <w:tab/>
        <w:t>25</w:t>
      </w:r>
    </w:p>
    <w:p w:rsidR="00276300" w:rsidRDefault="00276300" w:rsidP="00276300">
      <w:pPr>
        <w:pStyle w:val="FootnoteText"/>
        <w:tabs>
          <w:tab w:val="right" w:leader="dot" w:pos="9360"/>
        </w:tabs>
        <w:rPr>
          <w:i/>
          <w:iCs/>
          <w:sz w:val="28"/>
          <w:szCs w:val="28"/>
        </w:rPr>
      </w:pPr>
    </w:p>
    <w:p w:rsidR="00276300" w:rsidRDefault="00276300" w:rsidP="00276300">
      <w:pPr>
        <w:pStyle w:val="FootnoteText"/>
        <w:tabs>
          <w:tab w:val="right" w:leader="dot" w:pos="9360"/>
        </w:tabs>
        <w:rPr>
          <w:spacing w:val="-10"/>
          <w:sz w:val="28"/>
          <w:szCs w:val="28"/>
        </w:rPr>
      </w:pPr>
      <w:r>
        <w:rPr>
          <w:i/>
          <w:sz w:val="28"/>
          <w:szCs w:val="28"/>
        </w:rPr>
        <w:t>Cullimore v. Barnett Bank of Jacksonville</w:t>
      </w:r>
      <w:r>
        <w:rPr>
          <w:sz w:val="28"/>
          <w:szCs w:val="28"/>
        </w:rPr>
        <w:t>,</w:t>
      </w:r>
    </w:p>
    <w:p w:rsidR="00276300" w:rsidRDefault="00276300" w:rsidP="00276300">
      <w:pPr>
        <w:pStyle w:val="FootnoteText"/>
        <w:tabs>
          <w:tab w:val="right" w:leader="dot" w:pos="9360"/>
        </w:tabs>
        <w:rPr>
          <w:spacing w:val="-10"/>
          <w:sz w:val="28"/>
          <w:szCs w:val="28"/>
        </w:rPr>
      </w:pPr>
      <w:r>
        <w:rPr>
          <w:spacing w:val="-10"/>
          <w:sz w:val="28"/>
          <w:szCs w:val="28"/>
        </w:rPr>
        <w:t xml:space="preserve"> </w:t>
      </w:r>
      <w:r>
        <w:rPr>
          <w:sz w:val="28"/>
          <w:szCs w:val="28"/>
        </w:rPr>
        <w:t>386 So. 2d 894 (Fla. 1st DCA 1980)</w:t>
      </w:r>
      <w:r>
        <w:rPr>
          <w:spacing w:val="-10"/>
          <w:sz w:val="28"/>
          <w:szCs w:val="28"/>
        </w:rPr>
        <w:tab/>
        <w:t>30</w:t>
      </w:r>
    </w:p>
    <w:p w:rsidR="00276300" w:rsidRDefault="00276300" w:rsidP="00276300">
      <w:pPr>
        <w:pStyle w:val="FootnoteText"/>
        <w:tabs>
          <w:tab w:val="right" w:leader="dot" w:pos="9360"/>
        </w:tabs>
        <w:rPr>
          <w:i/>
          <w:iCs/>
          <w:sz w:val="28"/>
          <w:szCs w:val="28"/>
        </w:rPr>
      </w:pPr>
    </w:p>
    <w:p w:rsidR="00276300" w:rsidRDefault="00276300" w:rsidP="00276300">
      <w:pPr>
        <w:pStyle w:val="FootnoteText"/>
        <w:tabs>
          <w:tab w:val="right" w:leader="dot" w:pos="9360"/>
        </w:tabs>
        <w:rPr>
          <w:spacing w:val="-10"/>
          <w:sz w:val="28"/>
          <w:szCs w:val="28"/>
        </w:rPr>
      </w:pPr>
      <w:r>
        <w:rPr>
          <w:i/>
          <w:iCs/>
          <w:sz w:val="28"/>
          <w:szCs w:val="28"/>
        </w:rPr>
        <w:t>Damico v. Lundberg</w:t>
      </w:r>
      <w:r>
        <w:rPr>
          <w:sz w:val="28"/>
          <w:szCs w:val="28"/>
        </w:rPr>
        <w:t>,</w:t>
      </w:r>
    </w:p>
    <w:p w:rsidR="00276300" w:rsidRDefault="00276300" w:rsidP="00276300">
      <w:pPr>
        <w:pStyle w:val="FootnoteText"/>
        <w:tabs>
          <w:tab w:val="right" w:leader="dot" w:pos="9360"/>
        </w:tabs>
        <w:rPr>
          <w:spacing w:val="-10"/>
          <w:sz w:val="28"/>
          <w:szCs w:val="28"/>
        </w:rPr>
      </w:pPr>
      <w:r>
        <w:rPr>
          <w:spacing w:val="-10"/>
          <w:sz w:val="28"/>
          <w:szCs w:val="28"/>
        </w:rPr>
        <w:t xml:space="preserve"> </w:t>
      </w:r>
      <w:r>
        <w:rPr>
          <w:sz w:val="28"/>
          <w:szCs w:val="28"/>
        </w:rPr>
        <w:t>379 So. 2d 964 (Fla. 2d DCA 1979)</w:t>
      </w:r>
      <w:r>
        <w:rPr>
          <w:spacing w:val="-10"/>
          <w:sz w:val="28"/>
          <w:szCs w:val="28"/>
        </w:rPr>
        <w:tab/>
        <w:t>28</w:t>
      </w:r>
    </w:p>
    <w:p w:rsidR="00276300" w:rsidRDefault="00276300" w:rsidP="00276300">
      <w:pPr>
        <w:pStyle w:val="FootnoteText"/>
        <w:tabs>
          <w:tab w:val="right" w:leader="dot" w:pos="9360"/>
        </w:tabs>
        <w:rPr>
          <w:i/>
          <w:iCs/>
          <w:sz w:val="28"/>
          <w:szCs w:val="28"/>
        </w:rPr>
      </w:pPr>
    </w:p>
    <w:p w:rsidR="00276300" w:rsidRDefault="00276300" w:rsidP="00276300">
      <w:pPr>
        <w:pStyle w:val="FootnoteText"/>
        <w:tabs>
          <w:tab w:val="right" w:leader="dot" w:pos="9360"/>
        </w:tabs>
        <w:rPr>
          <w:spacing w:val="-10"/>
          <w:sz w:val="28"/>
          <w:szCs w:val="28"/>
        </w:rPr>
      </w:pPr>
      <w:r>
        <w:rPr>
          <w:i/>
          <w:sz w:val="28"/>
          <w:szCs w:val="28"/>
        </w:rPr>
        <w:t>Elston/Leetsdale, LLC v. CWCapital Asset Management, LLC</w:t>
      </w:r>
      <w:r>
        <w:rPr>
          <w:spacing w:val="-10"/>
          <w:sz w:val="28"/>
          <w:szCs w:val="28"/>
        </w:rPr>
        <w:t>,</w:t>
      </w:r>
    </w:p>
    <w:p w:rsidR="00276300" w:rsidRDefault="00276300" w:rsidP="00276300">
      <w:pPr>
        <w:pStyle w:val="FootnoteText"/>
        <w:tabs>
          <w:tab w:val="right" w:leader="dot" w:pos="9360"/>
        </w:tabs>
        <w:rPr>
          <w:spacing w:val="-10"/>
          <w:sz w:val="28"/>
          <w:szCs w:val="28"/>
        </w:rPr>
      </w:pPr>
      <w:r>
        <w:rPr>
          <w:spacing w:val="-10"/>
          <w:sz w:val="28"/>
          <w:szCs w:val="28"/>
        </w:rPr>
        <w:t xml:space="preserve"> </w:t>
      </w:r>
      <w:r>
        <w:rPr>
          <w:sz w:val="28"/>
          <w:szCs w:val="28"/>
        </w:rPr>
        <w:t>37 Fla. L. Weekly D785b (Fla. 4th DCA April 4, 2012)</w:t>
      </w:r>
      <w:r>
        <w:rPr>
          <w:spacing w:val="-10"/>
          <w:sz w:val="28"/>
          <w:szCs w:val="28"/>
        </w:rPr>
        <w:tab/>
        <w:t>9-10</w:t>
      </w:r>
    </w:p>
    <w:p w:rsidR="00276300" w:rsidRDefault="00276300" w:rsidP="00276300">
      <w:pPr>
        <w:pStyle w:val="FootnoteText"/>
        <w:tabs>
          <w:tab w:val="right" w:leader="dot" w:pos="9360"/>
        </w:tabs>
        <w:rPr>
          <w:i/>
          <w:iCs/>
          <w:sz w:val="28"/>
          <w:szCs w:val="28"/>
        </w:rPr>
      </w:pPr>
    </w:p>
    <w:p w:rsidR="00276300" w:rsidRDefault="00276300" w:rsidP="00276300">
      <w:pPr>
        <w:pStyle w:val="FootnoteText"/>
        <w:tabs>
          <w:tab w:val="right" w:leader="dot" w:pos="9360"/>
        </w:tabs>
        <w:rPr>
          <w:spacing w:val="-10"/>
          <w:sz w:val="28"/>
          <w:szCs w:val="28"/>
        </w:rPr>
      </w:pPr>
      <w:r>
        <w:rPr>
          <w:i/>
          <w:iCs/>
          <w:sz w:val="28"/>
          <w:szCs w:val="28"/>
        </w:rPr>
        <w:t>FCD Dev., LLC v. S. Fla. Sports Comm., Inc.</w:t>
      </w:r>
      <w:r>
        <w:rPr>
          <w:sz w:val="28"/>
          <w:szCs w:val="28"/>
        </w:rPr>
        <w:t>,</w:t>
      </w:r>
    </w:p>
    <w:p w:rsidR="00276300" w:rsidRDefault="00276300" w:rsidP="00276300">
      <w:pPr>
        <w:pStyle w:val="FootnoteText"/>
        <w:tabs>
          <w:tab w:val="right" w:leader="dot" w:pos="9360"/>
        </w:tabs>
        <w:rPr>
          <w:spacing w:val="-10"/>
          <w:sz w:val="28"/>
          <w:szCs w:val="28"/>
        </w:rPr>
      </w:pPr>
      <w:r>
        <w:rPr>
          <w:sz w:val="28"/>
          <w:szCs w:val="28"/>
        </w:rPr>
        <w:t xml:space="preserve"> 37 So. 3d 905 (Fla. 4th DCA 2010)</w:t>
      </w:r>
      <w:r>
        <w:rPr>
          <w:spacing w:val="-10"/>
          <w:sz w:val="28"/>
          <w:szCs w:val="28"/>
        </w:rPr>
        <w:tab/>
        <w:t>6</w:t>
      </w: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r>
        <w:rPr>
          <w:i/>
          <w:sz w:val="28"/>
          <w:szCs w:val="28"/>
        </w:rPr>
        <w:t>Feltus v. U.S. Bank National Association</w:t>
      </w:r>
      <w:r>
        <w:rPr>
          <w:sz w:val="28"/>
          <w:szCs w:val="28"/>
        </w:rPr>
        <w:t>,</w:t>
      </w:r>
    </w:p>
    <w:p w:rsidR="00276300" w:rsidRDefault="00276300" w:rsidP="00276300">
      <w:pPr>
        <w:pStyle w:val="FootnoteText"/>
        <w:tabs>
          <w:tab w:val="right" w:leader="dot" w:pos="9360"/>
        </w:tabs>
        <w:rPr>
          <w:spacing w:val="-10"/>
          <w:sz w:val="28"/>
          <w:szCs w:val="28"/>
        </w:rPr>
      </w:pPr>
      <w:r>
        <w:rPr>
          <w:spacing w:val="-10"/>
          <w:sz w:val="28"/>
          <w:szCs w:val="28"/>
        </w:rPr>
        <w:t xml:space="preserve"> </w:t>
      </w:r>
      <w:r>
        <w:rPr>
          <w:sz w:val="28"/>
          <w:szCs w:val="28"/>
        </w:rPr>
        <w:t>80 So. 3d 375 (Fla. 2d DCA 2012)</w:t>
      </w:r>
      <w:r>
        <w:rPr>
          <w:spacing w:val="-10"/>
          <w:sz w:val="28"/>
          <w:szCs w:val="28"/>
        </w:rPr>
        <w:tab/>
        <w:t>31-32</w:t>
      </w:r>
    </w:p>
    <w:p w:rsidR="00276300" w:rsidRDefault="00276300" w:rsidP="00276300">
      <w:pPr>
        <w:pStyle w:val="FootnoteText"/>
        <w:tabs>
          <w:tab w:val="right" w:leader="dot" w:pos="9360"/>
        </w:tabs>
        <w:rPr>
          <w:i/>
          <w:iCs/>
          <w:sz w:val="28"/>
          <w:szCs w:val="28"/>
        </w:rPr>
      </w:pPr>
    </w:p>
    <w:p w:rsidR="00276300" w:rsidRDefault="00276300" w:rsidP="00276300">
      <w:pPr>
        <w:pStyle w:val="FootnoteText"/>
        <w:tabs>
          <w:tab w:val="right" w:leader="dot" w:pos="9360"/>
        </w:tabs>
        <w:rPr>
          <w:spacing w:val="-10"/>
          <w:sz w:val="28"/>
          <w:szCs w:val="28"/>
        </w:rPr>
      </w:pPr>
      <w:r>
        <w:rPr>
          <w:i/>
          <w:iCs/>
          <w:sz w:val="28"/>
          <w:szCs w:val="28"/>
        </w:rPr>
        <w:t>Fla. Inst. for Neurological Rehab., Inc. v. Marshall</w:t>
      </w:r>
      <w:r>
        <w:rPr>
          <w:sz w:val="28"/>
          <w:szCs w:val="28"/>
        </w:rPr>
        <w:t>,</w:t>
      </w:r>
    </w:p>
    <w:p w:rsidR="00276300" w:rsidRDefault="00276300" w:rsidP="00276300">
      <w:pPr>
        <w:pStyle w:val="FootnoteText"/>
        <w:tabs>
          <w:tab w:val="right" w:leader="dot" w:pos="9360"/>
        </w:tabs>
        <w:rPr>
          <w:spacing w:val="-10"/>
          <w:sz w:val="28"/>
          <w:szCs w:val="28"/>
        </w:rPr>
      </w:pPr>
      <w:r>
        <w:rPr>
          <w:spacing w:val="-10"/>
          <w:sz w:val="28"/>
          <w:szCs w:val="28"/>
        </w:rPr>
        <w:t xml:space="preserve"> </w:t>
      </w:r>
      <w:r>
        <w:rPr>
          <w:sz w:val="28"/>
          <w:szCs w:val="28"/>
        </w:rPr>
        <w:t>943 So. 2d 976 (Fla. 2d DCA 2006)</w:t>
      </w:r>
      <w:r>
        <w:rPr>
          <w:spacing w:val="-10"/>
          <w:sz w:val="28"/>
          <w:szCs w:val="28"/>
        </w:rPr>
        <w:tab/>
        <w:t>28</w:t>
      </w:r>
    </w:p>
    <w:p w:rsidR="00276300" w:rsidRDefault="00276300" w:rsidP="00276300">
      <w:pPr>
        <w:pStyle w:val="FootnoteText"/>
        <w:tabs>
          <w:tab w:val="right" w:leader="dot" w:pos="9360"/>
        </w:tabs>
        <w:rPr>
          <w:i/>
          <w:iCs/>
          <w:sz w:val="28"/>
          <w:szCs w:val="28"/>
        </w:rPr>
      </w:pPr>
    </w:p>
    <w:p w:rsidR="00276300" w:rsidRDefault="00276300" w:rsidP="00276300">
      <w:pPr>
        <w:pStyle w:val="FootnoteText"/>
        <w:tabs>
          <w:tab w:val="right" w:leader="dot" w:pos="9360"/>
        </w:tabs>
        <w:rPr>
          <w:spacing w:val="-10"/>
          <w:sz w:val="28"/>
          <w:szCs w:val="28"/>
        </w:rPr>
      </w:pPr>
      <w:r>
        <w:rPr>
          <w:i/>
          <w:sz w:val="28"/>
          <w:szCs w:val="28"/>
        </w:rPr>
        <w:t>GMAC v. Honest Air Conditioning &amp; Heating, Inc.</w:t>
      </w:r>
      <w:r>
        <w:rPr>
          <w:spacing w:val="-10"/>
          <w:sz w:val="28"/>
          <w:szCs w:val="28"/>
        </w:rPr>
        <w:t>,</w:t>
      </w:r>
    </w:p>
    <w:p w:rsidR="00276300" w:rsidRDefault="00276300" w:rsidP="00276300">
      <w:pPr>
        <w:pStyle w:val="FootnoteText"/>
        <w:tabs>
          <w:tab w:val="right" w:leader="dot" w:pos="9360"/>
        </w:tabs>
        <w:rPr>
          <w:spacing w:val="-10"/>
          <w:sz w:val="28"/>
          <w:szCs w:val="28"/>
        </w:rPr>
      </w:pPr>
      <w:r>
        <w:rPr>
          <w:spacing w:val="-10"/>
          <w:sz w:val="28"/>
          <w:szCs w:val="28"/>
        </w:rPr>
        <w:t xml:space="preserve"> </w:t>
      </w:r>
      <w:r>
        <w:rPr>
          <w:sz w:val="28"/>
          <w:szCs w:val="28"/>
        </w:rPr>
        <w:t>933 So. 2d 34 (Fla. 2d DCA 2006)</w:t>
      </w:r>
      <w:r>
        <w:rPr>
          <w:spacing w:val="-10"/>
          <w:sz w:val="28"/>
          <w:szCs w:val="28"/>
        </w:rPr>
        <w:tab/>
        <w:t>15-16, 18</w:t>
      </w:r>
    </w:p>
    <w:p w:rsidR="00276300" w:rsidRDefault="00276300" w:rsidP="00276300">
      <w:pPr>
        <w:pStyle w:val="FootnoteText"/>
        <w:tabs>
          <w:tab w:val="right" w:leader="dot" w:pos="9360"/>
        </w:tabs>
        <w:rPr>
          <w:i/>
          <w:iCs/>
          <w:sz w:val="28"/>
          <w:szCs w:val="28"/>
        </w:rPr>
      </w:pPr>
    </w:p>
    <w:p w:rsidR="00276300" w:rsidRDefault="00276300" w:rsidP="00276300">
      <w:pPr>
        <w:pStyle w:val="FootnoteText"/>
        <w:tabs>
          <w:tab w:val="right" w:leader="dot" w:pos="9360"/>
        </w:tabs>
        <w:rPr>
          <w:spacing w:val="-10"/>
          <w:sz w:val="28"/>
          <w:szCs w:val="28"/>
        </w:rPr>
      </w:pPr>
      <w:r>
        <w:rPr>
          <w:i/>
          <w:sz w:val="28"/>
          <w:szCs w:val="28"/>
        </w:rPr>
        <w:t>Holly Hills Acres, Ltd. v. Charter Bank of Gainesville</w:t>
      </w:r>
      <w:r>
        <w:rPr>
          <w:spacing w:val="-10"/>
          <w:sz w:val="28"/>
          <w:szCs w:val="28"/>
        </w:rPr>
        <w:t>,</w:t>
      </w:r>
    </w:p>
    <w:p w:rsidR="00276300" w:rsidRDefault="00276300" w:rsidP="00276300">
      <w:pPr>
        <w:pStyle w:val="FootnoteText"/>
        <w:tabs>
          <w:tab w:val="right" w:leader="dot" w:pos="9360"/>
        </w:tabs>
        <w:rPr>
          <w:spacing w:val="-10"/>
          <w:sz w:val="28"/>
          <w:szCs w:val="28"/>
        </w:rPr>
      </w:pPr>
      <w:r>
        <w:rPr>
          <w:spacing w:val="-10"/>
          <w:sz w:val="28"/>
          <w:szCs w:val="28"/>
        </w:rPr>
        <w:t xml:space="preserve"> </w:t>
      </w:r>
      <w:r>
        <w:rPr>
          <w:sz w:val="28"/>
          <w:szCs w:val="28"/>
        </w:rPr>
        <w:t>314 So. 2d 209 (Fla. 2d DCA 1975)</w:t>
      </w:r>
      <w:r>
        <w:rPr>
          <w:spacing w:val="-10"/>
          <w:sz w:val="28"/>
          <w:szCs w:val="28"/>
        </w:rPr>
        <w:tab/>
        <w:t>21</w:t>
      </w:r>
    </w:p>
    <w:p w:rsidR="00276300" w:rsidRDefault="00276300" w:rsidP="00276300">
      <w:pPr>
        <w:pStyle w:val="FootnoteText"/>
        <w:tabs>
          <w:tab w:val="right" w:leader="dot" w:pos="9360"/>
        </w:tabs>
        <w:rPr>
          <w:i/>
          <w:iCs/>
          <w:sz w:val="28"/>
          <w:szCs w:val="28"/>
        </w:rPr>
      </w:pPr>
    </w:p>
    <w:p w:rsidR="00276300" w:rsidRDefault="00276300" w:rsidP="00276300">
      <w:pPr>
        <w:pStyle w:val="FootnoteText"/>
        <w:tabs>
          <w:tab w:val="right" w:leader="dot" w:pos="9360"/>
        </w:tabs>
        <w:rPr>
          <w:spacing w:val="-10"/>
          <w:sz w:val="28"/>
          <w:szCs w:val="28"/>
        </w:rPr>
      </w:pPr>
      <w:r>
        <w:rPr>
          <w:i/>
          <w:iCs/>
          <w:sz w:val="28"/>
          <w:szCs w:val="28"/>
        </w:rPr>
        <w:lastRenderedPageBreak/>
        <w:t>In re Commitment of DeBolt</w:t>
      </w:r>
      <w:r>
        <w:rPr>
          <w:sz w:val="28"/>
          <w:szCs w:val="28"/>
        </w:rPr>
        <w:t>,</w:t>
      </w:r>
    </w:p>
    <w:p w:rsidR="00276300" w:rsidRDefault="00276300" w:rsidP="00276300">
      <w:pPr>
        <w:pStyle w:val="FootnoteText"/>
        <w:tabs>
          <w:tab w:val="right" w:leader="dot" w:pos="9360"/>
        </w:tabs>
        <w:rPr>
          <w:spacing w:val="-10"/>
          <w:sz w:val="28"/>
          <w:szCs w:val="28"/>
        </w:rPr>
      </w:pPr>
      <w:r>
        <w:rPr>
          <w:spacing w:val="-10"/>
          <w:sz w:val="28"/>
          <w:szCs w:val="28"/>
        </w:rPr>
        <w:t xml:space="preserve"> </w:t>
      </w:r>
      <w:r>
        <w:rPr>
          <w:sz w:val="28"/>
          <w:szCs w:val="28"/>
        </w:rPr>
        <w:t>19 So. 3d 335 (Fla. 2d DCA 2009)</w:t>
      </w:r>
      <w:r>
        <w:rPr>
          <w:spacing w:val="-10"/>
          <w:sz w:val="28"/>
          <w:szCs w:val="28"/>
        </w:rPr>
        <w:tab/>
        <w:t>28</w:t>
      </w:r>
    </w:p>
    <w:p w:rsidR="00276300" w:rsidRDefault="00276300" w:rsidP="00276300">
      <w:pPr>
        <w:pStyle w:val="FootnoteText"/>
        <w:tabs>
          <w:tab w:val="right" w:leader="dot" w:pos="9360"/>
        </w:tabs>
        <w:rPr>
          <w:i/>
          <w:sz w:val="28"/>
          <w:szCs w:val="28"/>
        </w:rPr>
      </w:pPr>
    </w:p>
    <w:p w:rsidR="00276300" w:rsidRDefault="00276300" w:rsidP="00276300">
      <w:pPr>
        <w:pStyle w:val="FootnoteText"/>
        <w:tabs>
          <w:tab w:val="right" w:leader="dot" w:pos="9360"/>
        </w:tabs>
        <w:rPr>
          <w:spacing w:val="-10"/>
          <w:sz w:val="28"/>
          <w:szCs w:val="28"/>
        </w:rPr>
      </w:pPr>
      <w:r>
        <w:rPr>
          <w:i/>
          <w:sz w:val="28"/>
          <w:szCs w:val="28"/>
        </w:rPr>
        <w:t>Jeff-Ray Corp. v. Jacobson</w:t>
      </w:r>
      <w:r>
        <w:rPr>
          <w:spacing w:val="-10"/>
          <w:sz w:val="28"/>
          <w:szCs w:val="28"/>
        </w:rPr>
        <w:t>,</w:t>
      </w:r>
    </w:p>
    <w:p w:rsidR="00276300" w:rsidRDefault="00276300" w:rsidP="00276300">
      <w:pPr>
        <w:pStyle w:val="FootnoteText"/>
        <w:tabs>
          <w:tab w:val="right" w:leader="dot" w:pos="9360"/>
        </w:tabs>
        <w:rPr>
          <w:spacing w:val="-10"/>
          <w:sz w:val="28"/>
          <w:szCs w:val="28"/>
        </w:rPr>
      </w:pPr>
      <w:r>
        <w:rPr>
          <w:spacing w:val="-10"/>
          <w:sz w:val="28"/>
          <w:szCs w:val="28"/>
        </w:rPr>
        <w:t xml:space="preserve"> </w:t>
      </w:r>
      <w:r>
        <w:rPr>
          <w:sz w:val="28"/>
          <w:szCs w:val="28"/>
        </w:rPr>
        <w:t>566 So. 2d 885 (Fla. 4th DCA 1990)</w:t>
      </w:r>
      <w:r>
        <w:rPr>
          <w:spacing w:val="-10"/>
          <w:sz w:val="28"/>
          <w:szCs w:val="28"/>
        </w:rPr>
        <w:tab/>
        <w:t>25</w:t>
      </w: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r>
        <w:rPr>
          <w:i/>
          <w:sz w:val="28"/>
          <w:szCs w:val="28"/>
        </w:rPr>
        <w:t>Johns v. Gillian</w:t>
      </w:r>
      <w:r>
        <w:rPr>
          <w:sz w:val="28"/>
          <w:szCs w:val="28"/>
        </w:rPr>
        <w:t>,</w:t>
      </w:r>
    </w:p>
    <w:p w:rsidR="00276300" w:rsidRDefault="00276300" w:rsidP="00276300">
      <w:pPr>
        <w:pStyle w:val="FootnoteText"/>
        <w:tabs>
          <w:tab w:val="right" w:leader="dot" w:pos="9360"/>
        </w:tabs>
        <w:rPr>
          <w:spacing w:val="-10"/>
          <w:sz w:val="28"/>
          <w:szCs w:val="28"/>
        </w:rPr>
      </w:pPr>
      <w:r>
        <w:rPr>
          <w:spacing w:val="-10"/>
          <w:sz w:val="28"/>
          <w:szCs w:val="28"/>
        </w:rPr>
        <w:t xml:space="preserve"> </w:t>
      </w:r>
      <w:r>
        <w:rPr>
          <w:sz w:val="28"/>
          <w:szCs w:val="28"/>
        </w:rPr>
        <w:t>184 So. 140 (Fla. 1938)</w:t>
      </w:r>
      <w:r>
        <w:rPr>
          <w:spacing w:val="-10"/>
          <w:sz w:val="28"/>
          <w:szCs w:val="28"/>
        </w:rPr>
        <w:tab/>
        <w:t>20</w:t>
      </w:r>
    </w:p>
    <w:p w:rsidR="00276300" w:rsidRDefault="00276300" w:rsidP="00276300">
      <w:pPr>
        <w:pStyle w:val="FootnoteText"/>
        <w:tabs>
          <w:tab w:val="right" w:leader="dot" w:pos="9360"/>
        </w:tabs>
        <w:rPr>
          <w:i/>
          <w:iCs/>
          <w:sz w:val="28"/>
          <w:szCs w:val="28"/>
        </w:rPr>
      </w:pPr>
    </w:p>
    <w:p w:rsidR="00276300" w:rsidRDefault="00276300" w:rsidP="00276300">
      <w:pPr>
        <w:pStyle w:val="FootnoteText"/>
        <w:tabs>
          <w:tab w:val="right" w:leader="dot" w:pos="9360"/>
        </w:tabs>
        <w:rPr>
          <w:spacing w:val="-10"/>
          <w:sz w:val="28"/>
          <w:szCs w:val="28"/>
        </w:rPr>
      </w:pPr>
      <w:r>
        <w:rPr>
          <w:i/>
          <w:sz w:val="28"/>
          <w:szCs w:val="28"/>
        </w:rPr>
        <w:t>Juega v. Davidson</w:t>
      </w:r>
      <w:r>
        <w:rPr>
          <w:sz w:val="28"/>
          <w:szCs w:val="28"/>
        </w:rPr>
        <w:t>,</w:t>
      </w:r>
    </w:p>
    <w:p w:rsidR="00276300" w:rsidRDefault="00276300" w:rsidP="00276300">
      <w:pPr>
        <w:pStyle w:val="FootnoteText"/>
        <w:tabs>
          <w:tab w:val="right" w:leader="dot" w:pos="9360"/>
        </w:tabs>
        <w:rPr>
          <w:spacing w:val="-10"/>
          <w:sz w:val="28"/>
          <w:szCs w:val="28"/>
        </w:rPr>
      </w:pPr>
      <w:r>
        <w:rPr>
          <w:spacing w:val="-10"/>
          <w:sz w:val="28"/>
          <w:szCs w:val="28"/>
        </w:rPr>
        <w:t xml:space="preserve"> </w:t>
      </w:r>
      <w:r>
        <w:rPr>
          <w:sz w:val="28"/>
          <w:szCs w:val="28"/>
        </w:rPr>
        <w:t>8 So. 3d 488 (Fla. 3d DCA 2009)</w:t>
      </w:r>
      <w:r>
        <w:rPr>
          <w:spacing w:val="-10"/>
          <w:sz w:val="28"/>
          <w:szCs w:val="28"/>
        </w:rPr>
        <w:tab/>
        <w:t>11</w:t>
      </w:r>
    </w:p>
    <w:p w:rsidR="00276300" w:rsidRDefault="00276300" w:rsidP="00276300">
      <w:pPr>
        <w:pStyle w:val="FootnoteText"/>
        <w:tabs>
          <w:tab w:val="right" w:leader="dot" w:pos="9360"/>
        </w:tabs>
        <w:rPr>
          <w:i/>
          <w:iCs/>
          <w:sz w:val="28"/>
          <w:szCs w:val="28"/>
        </w:rPr>
      </w:pPr>
    </w:p>
    <w:p w:rsidR="00276300" w:rsidRDefault="00276300" w:rsidP="00276300">
      <w:pPr>
        <w:pStyle w:val="FootnoteText"/>
        <w:tabs>
          <w:tab w:val="right" w:leader="dot" w:pos="9360"/>
        </w:tabs>
        <w:rPr>
          <w:spacing w:val="-10"/>
          <w:sz w:val="28"/>
          <w:szCs w:val="28"/>
        </w:rPr>
      </w:pPr>
      <w:r>
        <w:rPr>
          <w:i/>
          <w:sz w:val="28"/>
          <w:szCs w:val="28"/>
        </w:rPr>
        <w:t>Kumar Corp. v. Nopal Lines, Ltd.</w:t>
      </w:r>
      <w:r>
        <w:rPr>
          <w:sz w:val="28"/>
          <w:szCs w:val="28"/>
        </w:rPr>
        <w:t>,</w:t>
      </w:r>
      <w:r>
        <w:rPr>
          <w:spacing w:val="-10"/>
          <w:sz w:val="28"/>
          <w:szCs w:val="28"/>
        </w:rPr>
        <w:t xml:space="preserve"> </w:t>
      </w:r>
    </w:p>
    <w:p w:rsidR="00276300" w:rsidRDefault="00276300" w:rsidP="00276300">
      <w:pPr>
        <w:pStyle w:val="FootnoteText"/>
        <w:tabs>
          <w:tab w:val="right" w:leader="dot" w:pos="9360"/>
        </w:tabs>
        <w:rPr>
          <w:spacing w:val="-10"/>
          <w:sz w:val="28"/>
          <w:szCs w:val="28"/>
        </w:rPr>
      </w:pPr>
      <w:r>
        <w:rPr>
          <w:spacing w:val="-10"/>
          <w:sz w:val="28"/>
          <w:szCs w:val="28"/>
        </w:rPr>
        <w:t xml:space="preserve"> </w:t>
      </w:r>
      <w:r>
        <w:rPr>
          <w:sz w:val="28"/>
          <w:szCs w:val="28"/>
        </w:rPr>
        <w:t>462 So. 2d 1178 (Fla. 3d DCA 1985)</w:t>
      </w:r>
      <w:r>
        <w:rPr>
          <w:spacing w:val="-10"/>
          <w:sz w:val="28"/>
          <w:szCs w:val="28"/>
        </w:rPr>
        <w:tab/>
        <w:t>11-12</w:t>
      </w:r>
    </w:p>
    <w:p w:rsidR="00276300" w:rsidRDefault="00276300" w:rsidP="00276300">
      <w:pPr>
        <w:pStyle w:val="FootnoteText"/>
        <w:tabs>
          <w:tab w:val="right" w:leader="dot" w:pos="9360"/>
        </w:tabs>
        <w:rPr>
          <w:i/>
          <w:iCs/>
          <w:sz w:val="28"/>
          <w:szCs w:val="28"/>
        </w:rPr>
      </w:pPr>
    </w:p>
    <w:p w:rsidR="00276300" w:rsidRDefault="00276300" w:rsidP="00276300">
      <w:pPr>
        <w:pStyle w:val="FootnoteText"/>
        <w:tabs>
          <w:tab w:val="right" w:leader="dot" w:pos="9360"/>
        </w:tabs>
        <w:rPr>
          <w:spacing w:val="-10"/>
          <w:sz w:val="28"/>
          <w:szCs w:val="28"/>
        </w:rPr>
      </w:pPr>
      <w:r>
        <w:rPr>
          <w:i/>
          <w:sz w:val="28"/>
          <w:szCs w:val="28"/>
        </w:rPr>
        <w:t>Lawyers Title Insurance Company, Inc. v. Novastar Mortgage, Inc.</w:t>
      </w:r>
      <w:r>
        <w:rPr>
          <w:sz w:val="28"/>
          <w:szCs w:val="28"/>
        </w:rPr>
        <w:t>,</w:t>
      </w:r>
    </w:p>
    <w:p w:rsidR="00276300" w:rsidRDefault="00276300" w:rsidP="00276300">
      <w:pPr>
        <w:pStyle w:val="FootnoteText"/>
        <w:tabs>
          <w:tab w:val="right" w:leader="dot" w:pos="9360"/>
        </w:tabs>
        <w:rPr>
          <w:spacing w:val="-10"/>
          <w:sz w:val="28"/>
          <w:szCs w:val="28"/>
        </w:rPr>
      </w:pPr>
      <w:r>
        <w:rPr>
          <w:spacing w:val="-10"/>
          <w:sz w:val="28"/>
          <w:szCs w:val="28"/>
        </w:rPr>
        <w:t xml:space="preserve"> </w:t>
      </w:r>
      <w:r>
        <w:rPr>
          <w:sz w:val="28"/>
          <w:szCs w:val="28"/>
        </w:rPr>
        <w:t>862 So. 2d 793 (Fla. 4th DCA 2003)</w:t>
      </w:r>
      <w:r>
        <w:rPr>
          <w:spacing w:val="-10"/>
          <w:sz w:val="28"/>
          <w:szCs w:val="28"/>
        </w:rPr>
        <w:tab/>
        <w:t>23</w:t>
      </w: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r>
        <w:rPr>
          <w:i/>
          <w:sz w:val="28"/>
          <w:szCs w:val="28"/>
        </w:rPr>
        <w:t>Mason v. Flowers</w:t>
      </w:r>
      <w:r>
        <w:rPr>
          <w:sz w:val="28"/>
          <w:szCs w:val="28"/>
        </w:rPr>
        <w:t>,</w:t>
      </w:r>
    </w:p>
    <w:p w:rsidR="00276300" w:rsidRDefault="00276300" w:rsidP="00276300">
      <w:pPr>
        <w:pStyle w:val="FootnoteText"/>
        <w:tabs>
          <w:tab w:val="right" w:leader="dot" w:pos="9360"/>
        </w:tabs>
        <w:rPr>
          <w:spacing w:val="-10"/>
          <w:sz w:val="28"/>
          <w:szCs w:val="28"/>
        </w:rPr>
      </w:pPr>
      <w:r>
        <w:rPr>
          <w:spacing w:val="-10"/>
          <w:sz w:val="28"/>
          <w:szCs w:val="28"/>
        </w:rPr>
        <w:t xml:space="preserve"> </w:t>
      </w:r>
      <w:r>
        <w:rPr>
          <w:sz w:val="28"/>
          <w:szCs w:val="28"/>
        </w:rPr>
        <w:t>91 Fla. 224, 107 So. 334 (Fla. 1926)</w:t>
      </w:r>
      <w:r>
        <w:rPr>
          <w:spacing w:val="-10"/>
          <w:sz w:val="28"/>
          <w:szCs w:val="28"/>
        </w:rPr>
        <w:tab/>
        <w:t>16</w:t>
      </w:r>
    </w:p>
    <w:p w:rsidR="00276300" w:rsidRDefault="00276300" w:rsidP="00276300">
      <w:pPr>
        <w:pStyle w:val="FootnoteText"/>
        <w:tabs>
          <w:tab w:val="right" w:leader="dot" w:pos="9360"/>
        </w:tabs>
        <w:rPr>
          <w:i/>
          <w:iCs/>
          <w:sz w:val="28"/>
          <w:szCs w:val="28"/>
        </w:rPr>
      </w:pPr>
    </w:p>
    <w:p w:rsidR="00276300" w:rsidRDefault="00276300" w:rsidP="00276300">
      <w:pPr>
        <w:pStyle w:val="FootnoteText"/>
        <w:tabs>
          <w:tab w:val="right" w:leader="dot" w:pos="9360"/>
        </w:tabs>
        <w:rPr>
          <w:spacing w:val="-10"/>
          <w:sz w:val="28"/>
          <w:szCs w:val="28"/>
        </w:rPr>
      </w:pPr>
      <w:r>
        <w:rPr>
          <w:i/>
          <w:sz w:val="28"/>
          <w:szCs w:val="28"/>
        </w:rPr>
        <w:t>Perry v. Fairbanks</w:t>
      </w:r>
      <w:r>
        <w:rPr>
          <w:sz w:val="28"/>
          <w:szCs w:val="28"/>
        </w:rPr>
        <w:t>,</w:t>
      </w:r>
    </w:p>
    <w:p w:rsidR="00276300" w:rsidRDefault="00276300" w:rsidP="00276300">
      <w:pPr>
        <w:pStyle w:val="FootnoteText"/>
        <w:tabs>
          <w:tab w:val="right" w:leader="dot" w:pos="9360"/>
        </w:tabs>
        <w:rPr>
          <w:spacing w:val="-10"/>
          <w:sz w:val="28"/>
          <w:szCs w:val="28"/>
        </w:rPr>
      </w:pPr>
      <w:r>
        <w:rPr>
          <w:spacing w:val="-10"/>
          <w:sz w:val="28"/>
          <w:szCs w:val="28"/>
        </w:rPr>
        <w:t xml:space="preserve"> </w:t>
      </w:r>
      <w:r>
        <w:rPr>
          <w:sz w:val="28"/>
          <w:szCs w:val="28"/>
        </w:rPr>
        <w:t>888 So. 2d 727 (Fla. 5th DCA 2004)</w:t>
      </w:r>
      <w:r>
        <w:rPr>
          <w:spacing w:val="-10"/>
          <w:sz w:val="28"/>
          <w:szCs w:val="28"/>
        </w:rPr>
        <w:tab/>
        <w:t>13, 18</w:t>
      </w:r>
    </w:p>
    <w:p w:rsidR="00276300" w:rsidRDefault="00276300" w:rsidP="00276300">
      <w:pPr>
        <w:pStyle w:val="FootnoteText"/>
        <w:tabs>
          <w:tab w:val="right" w:leader="dot" w:pos="9360"/>
        </w:tabs>
        <w:rPr>
          <w:i/>
          <w:iCs/>
          <w:sz w:val="28"/>
          <w:szCs w:val="28"/>
        </w:rPr>
      </w:pPr>
    </w:p>
    <w:p w:rsidR="00276300" w:rsidRDefault="00276300" w:rsidP="00276300">
      <w:pPr>
        <w:pStyle w:val="FootnoteText"/>
        <w:tabs>
          <w:tab w:val="right" w:leader="dot" w:pos="9360"/>
        </w:tabs>
        <w:rPr>
          <w:spacing w:val="-10"/>
          <w:sz w:val="28"/>
          <w:szCs w:val="28"/>
        </w:rPr>
      </w:pPr>
      <w:r>
        <w:rPr>
          <w:i/>
          <w:sz w:val="28"/>
          <w:szCs w:val="28"/>
        </w:rPr>
        <w:t>Progressive Exp. v. McGrath Chiropractic</w:t>
      </w:r>
      <w:r>
        <w:rPr>
          <w:sz w:val="28"/>
          <w:szCs w:val="28"/>
        </w:rPr>
        <w:t>,</w:t>
      </w:r>
    </w:p>
    <w:p w:rsidR="00276300" w:rsidRDefault="00276300" w:rsidP="00276300">
      <w:pPr>
        <w:pStyle w:val="FootnoteText"/>
        <w:tabs>
          <w:tab w:val="right" w:leader="dot" w:pos="9360"/>
        </w:tabs>
        <w:rPr>
          <w:spacing w:val="-10"/>
          <w:sz w:val="28"/>
          <w:szCs w:val="28"/>
        </w:rPr>
      </w:pPr>
      <w:r>
        <w:rPr>
          <w:spacing w:val="-10"/>
          <w:sz w:val="28"/>
          <w:szCs w:val="28"/>
        </w:rPr>
        <w:t xml:space="preserve"> </w:t>
      </w:r>
      <w:r>
        <w:rPr>
          <w:sz w:val="28"/>
          <w:szCs w:val="28"/>
        </w:rPr>
        <w:t>913 So. 2d 1281 (Fla. 2d DCA 2005)</w:t>
      </w:r>
      <w:r>
        <w:rPr>
          <w:spacing w:val="-10"/>
          <w:sz w:val="28"/>
          <w:szCs w:val="28"/>
        </w:rPr>
        <w:tab/>
        <w:t>25-26</w:t>
      </w:r>
    </w:p>
    <w:p w:rsidR="00276300" w:rsidRDefault="00276300" w:rsidP="00276300">
      <w:pPr>
        <w:pStyle w:val="FootnoteText"/>
        <w:tabs>
          <w:tab w:val="right" w:leader="dot" w:pos="9360"/>
        </w:tabs>
        <w:rPr>
          <w:i/>
          <w:sz w:val="28"/>
          <w:szCs w:val="28"/>
        </w:rPr>
      </w:pPr>
    </w:p>
    <w:p w:rsidR="00276300" w:rsidRDefault="00276300" w:rsidP="00276300">
      <w:pPr>
        <w:pStyle w:val="FootnoteText"/>
        <w:tabs>
          <w:tab w:val="right" w:leader="dot" w:pos="9360"/>
        </w:tabs>
        <w:rPr>
          <w:spacing w:val="-10"/>
          <w:sz w:val="28"/>
          <w:szCs w:val="28"/>
        </w:rPr>
      </w:pPr>
      <w:r>
        <w:rPr>
          <w:i/>
          <w:sz w:val="28"/>
          <w:szCs w:val="28"/>
        </w:rPr>
        <w:t>Richardson v. State</w:t>
      </w:r>
      <w:r>
        <w:rPr>
          <w:sz w:val="28"/>
          <w:szCs w:val="28"/>
        </w:rPr>
        <w:t>,</w:t>
      </w:r>
    </w:p>
    <w:p w:rsidR="00276300" w:rsidRDefault="00276300" w:rsidP="00276300">
      <w:pPr>
        <w:pStyle w:val="FootnoteText"/>
        <w:tabs>
          <w:tab w:val="right" w:leader="dot" w:pos="9360"/>
        </w:tabs>
        <w:rPr>
          <w:spacing w:val="-10"/>
          <w:sz w:val="28"/>
          <w:szCs w:val="28"/>
        </w:rPr>
      </w:pPr>
      <w:r>
        <w:rPr>
          <w:spacing w:val="-10"/>
          <w:sz w:val="28"/>
          <w:szCs w:val="28"/>
        </w:rPr>
        <w:t xml:space="preserve"> </w:t>
      </w:r>
      <w:r>
        <w:rPr>
          <w:sz w:val="28"/>
          <w:szCs w:val="28"/>
        </w:rPr>
        <w:t>875 So. 2d 673 (Fla. 1st DCA 2004)</w:t>
      </w:r>
      <w:r>
        <w:rPr>
          <w:spacing w:val="-10"/>
          <w:sz w:val="28"/>
          <w:szCs w:val="28"/>
        </w:rPr>
        <w:tab/>
        <w:t>30</w:t>
      </w: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r>
        <w:rPr>
          <w:i/>
          <w:sz w:val="28"/>
          <w:szCs w:val="28"/>
        </w:rPr>
        <w:t>Riggs v. Aurora Loan Services, LLC</w:t>
      </w:r>
      <w:r>
        <w:rPr>
          <w:spacing w:val="-10"/>
          <w:sz w:val="28"/>
          <w:szCs w:val="28"/>
        </w:rPr>
        <w:t>,</w:t>
      </w:r>
    </w:p>
    <w:p w:rsidR="00276300" w:rsidRDefault="00276300" w:rsidP="00276300">
      <w:pPr>
        <w:pStyle w:val="FootnoteText"/>
        <w:tabs>
          <w:tab w:val="right" w:leader="dot" w:pos="9360"/>
        </w:tabs>
        <w:rPr>
          <w:spacing w:val="-10"/>
          <w:sz w:val="28"/>
          <w:szCs w:val="28"/>
        </w:rPr>
      </w:pPr>
      <w:r>
        <w:rPr>
          <w:spacing w:val="-10"/>
          <w:sz w:val="28"/>
          <w:szCs w:val="28"/>
        </w:rPr>
        <w:t xml:space="preserve"> </w:t>
      </w:r>
      <w:r>
        <w:rPr>
          <w:sz w:val="28"/>
          <w:szCs w:val="28"/>
        </w:rPr>
        <w:t>36 So.3d 932 (Fla. 4th DCA 2010)</w:t>
      </w:r>
      <w:r>
        <w:rPr>
          <w:spacing w:val="-10"/>
          <w:sz w:val="28"/>
          <w:szCs w:val="28"/>
        </w:rPr>
        <w:tab/>
        <w:t>13, 18, 19</w:t>
      </w:r>
    </w:p>
    <w:p w:rsidR="00276300" w:rsidRDefault="00276300" w:rsidP="00276300">
      <w:pPr>
        <w:pStyle w:val="FootnoteText"/>
        <w:tabs>
          <w:tab w:val="right" w:leader="dot" w:pos="9360"/>
        </w:tabs>
        <w:rPr>
          <w:i/>
          <w:iCs/>
          <w:sz w:val="28"/>
          <w:szCs w:val="28"/>
        </w:rPr>
      </w:pPr>
    </w:p>
    <w:p w:rsidR="00276300" w:rsidRDefault="00276300" w:rsidP="00276300">
      <w:pPr>
        <w:pStyle w:val="FootnoteText"/>
        <w:tabs>
          <w:tab w:val="right" w:leader="dot" w:pos="9360"/>
        </w:tabs>
        <w:rPr>
          <w:spacing w:val="-10"/>
          <w:sz w:val="28"/>
          <w:szCs w:val="28"/>
        </w:rPr>
      </w:pPr>
      <w:r>
        <w:rPr>
          <w:i/>
          <w:sz w:val="28"/>
          <w:szCs w:val="28"/>
        </w:rPr>
        <w:t>Taylor v. Deutsche Bank National Trust Company</w:t>
      </w:r>
      <w:r>
        <w:rPr>
          <w:spacing w:val="-10"/>
          <w:sz w:val="28"/>
          <w:szCs w:val="28"/>
        </w:rPr>
        <w:t>,</w:t>
      </w:r>
    </w:p>
    <w:p w:rsidR="00276300" w:rsidRDefault="00276300" w:rsidP="00276300">
      <w:pPr>
        <w:pStyle w:val="FootnoteText"/>
        <w:tabs>
          <w:tab w:val="right" w:leader="dot" w:pos="9360"/>
        </w:tabs>
        <w:rPr>
          <w:spacing w:val="-10"/>
          <w:sz w:val="28"/>
          <w:szCs w:val="28"/>
        </w:rPr>
      </w:pPr>
      <w:r>
        <w:rPr>
          <w:spacing w:val="-10"/>
          <w:sz w:val="28"/>
          <w:szCs w:val="28"/>
        </w:rPr>
        <w:t xml:space="preserve"> </w:t>
      </w:r>
      <w:r>
        <w:rPr>
          <w:sz w:val="28"/>
          <w:szCs w:val="28"/>
        </w:rPr>
        <w:t>44 So. 3d 618 (Fla. 5th DCA 2010)</w:t>
      </w:r>
      <w:r>
        <w:rPr>
          <w:spacing w:val="-10"/>
          <w:sz w:val="28"/>
          <w:szCs w:val="28"/>
        </w:rPr>
        <w:tab/>
        <w:t>13, 18, 22</w:t>
      </w:r>
    </w:p>
    <w:p w:rsidR="00276300" w:rsidRDefault="00276300" w:rsidP="00276300">
      <w:pPr>
        <w:pStyle w:val="FootnoteText"/>
        <w:tabs>
          <w:tab w:val="right" w:leader="dot" w:pos="9360"/>
        </w:tabs>
        <w:rPr>
          <w:i/>
          <w:iCs/>
          <w:sz w:val="28"/>
          <w:szCs w:val="28"/>
        </w:rPr>
      </w:pPr>
    </w:p>
    <w:p w:rsidR="00276300" w:rsidRDefault="00276300" w:rsidP="00276300">
      <w:pPr>
        <w:pStyle w:val="FootnoteText"/>
        <w:tabs>
          <w:tab w:val="right" w:leader="dot" w:pos="9360"/>
        </w:tabs>
        <w:rPr>
          <w:spacing w:val="-10"/>
          <w:sz w:val="28"/>
          <w:szCs w:val="28"/>
        </w:rPr>
      </w:pPr>
      <w:r>
        <w:rPr>
          <w:i/>
          <w:sz w:val="28"/>
          <w:szCs w:val="28"/>
        </w:rPr>
        <w:t>Thompson v. State</w:t>
      </w:r>
      <w:r>
        <w:rPr>
          <w:sz w:val="28"/>
          <w:szCs w:val="28"/>
        </w:rPr>
        <w:t>,</w:t>
      </w:r>
    </w:p>
    <w:p w:rsidR="00276300" w:rsidRDefault="00276300" w:rsidP="00276300">
      <w:pPr>
        <w:pStyle w:val="FootnoteText"/>
        <w:tabs>
          <w:tab w:val="right" w:leader="dot" w:pos="9360"/>
        </w:tabs>
        <w:rPr>
          <w:spacing w:val="-10"/>
          <w:sz w:val="28"/>
          <w:szCs w:val="28"/>
        </w:rPr>
      </w:pPr>
      <w:r>
        <w:rPr>
          <w:spacing w:val="-10"/>
          <w:sz w:val="28"/>
          <w:szCs w:val="28"/>
        </w:rPr>
        <w:t xml:space="preserve"> </w:t>
      </w:r>
      <w:r>
        <w:rPr>
          <w:sz w:val="28"/>
          <w:szCs w:val="28"/>
        </w:rPr>
        <w:t>705 So. 2d 1046 (Fla. 4th DCA 1998)</w:t>
      </w:r>
      <w:r>
        <w:rPr>
          <w:spacing w:val="-10"/>
          <w:sz w:val="28"/>
          <w:szCs w:val="28"/>
        </w:rPr>
        <w:tab/>
        <w:t>30-31</w:t>
      </w:r>
    </w:p>
    <w:p w:rsidR="00276300" w:rsidRDefault="00276300" w:rsidP="00276300">
      <w:pPr>
        <w:pStyle w:val="FootnoteText"/>
        <w:tabs>
          <w:tab w:val="right" w:leader="dot" w:pos="9360"/>
        </w:tabs>
        <w:rPr>
          <w:i/>
          <w:iCs/>
          <w:sz w:val="28"/>
          <w:szCs w:val="28"/>
        </w:rPr>
      </w:pPr>
    </w:p>
    <w:p w:rsidR="00276300" w:rsidRDefault="00276300" w:rsidP="00276300">
      <w:pPr>
        <w:pStyle w:val="FootnoteText"/>
        <w:tabs>
          <w:tab w:val="right" w:leader="dot" w:pos="9360"/>
        </w:tabs>
        <w:rPr>
          <w:i/>
          <w:iCs/>
          <w:sz w:val="28"/>
          <w:szCs w:val="28"/>
        </w:rPr>
      </w:pPr>
    </w:p>
    <w:p w:rsidR="00276300" w:rsidRDefault="00276300" w:rsidP="00276300">
      <w:pPr>
        <w:pStyle w:val="FootnoteText"/>
        <w:tabs>
          <w:tab w:val="right" w:leader="dot" w:pos="9360"/>
        </w:tabs>
        <w:rPr>
          <w:sz w:val="28"/>
          <w:szCs w:val="28"/>
        </w:rPr>
      </w:pPr>
      <w:r>
        <w:rPr>
          <w:i/>
          <w:iCs/>
          <w:sz w:val="28"/>
          <w:szCs w:val="28"/>
        </w:rPr>
        <w:lastRenderedPageBreak/>
        <w:t>Westport Recovery Corp. v. Midas</w:t>
      </w:r>
      <w:r>
        <w:rPr>
          <w:sz w:val="28"/>
          <w:szCs w:val="28"/>
        </w:rPr>
        <w:t>,</w:t>
      </w:r>
    </w:p>
    <w:p w:rsidR="00276300" w:rsidRDefault="00276300" w:rsidP="00276300">
      <w:pPr>
        <w:pStyle w:val="FootnoteText"/>
        <w:tabs>
          <w:tab w:val="right" w:leader="dot" w:pos="9360"/>
        </w:tabs>
        <w:rPr>
          <w:spacing w:val="-10"/>
          <w:sz w:val="28"/>
          <w:szCs w:val="28"/>
        </w:rPr>
      </w:pPr>
      <w:r>
        <w:rPr>
          <w:spacing w:val="-10"/>
          <w:sz w:val="28"/>
          <w:szCs w:val="28"/>
        </w:rPr>
        <w:t xml:space="preserve"> </w:t>
      </w:r>
      <w:r>
        <w:rPr>
          <w:sz w:val="28"/>
          <w:szCs w:val="28"/>
        </w:rPr>
        <w:t>954 So. 2d 750 (Fla. 4th DCA 2007)</w:t>
      </w:r>
      <w:r>
        <w:rPr>
          <w:spacing w:val="-10"/>
          <w:sz w:val="28"/>
          <w:szCs w:val="28"/>
        </w:rPr>
        <w:tab/>
        <w:t>6</w:t>
      </w:r>
    </w:p>
    <w:p w:rsidR="00276300" w:rsidRDefault="00276300" w:rsidP="00276300">
      <w:pPr>
        <w:pStyle w:val="FootnoteText"/>
        <w:tabs>
          <w:tab w:val="right" w:leader="dot" w:pos="9360"/>
        </w:tabs>
        <w:rPr>
          <w:i/>
          <w:sz w:val="28"/>
          <w:szCs w:val="28"/>
        </w:rPr>
      </w:pPr>
    </w:p>
    <w:p w:rsidR="00276300" w:rsidRDefault="00276300" w:rsidP="00276300">
      <w:pPr>
        <w:pStyle w:val="FootnoteText"/>
        <w:tabs>
          <w:tab w:val="right" w:leader="dot" w:pos="9360"/>
        </w:tabs>
        <w:rPr>
          <w:spacing w:val="-10"/>
          <w:sz w:val="28"/>
          <w:szCs w:val="28"/>
        </w:rPr>
      </w:pPr>
      <w:r>
        <w:rPr>
          <w:i/>
          <w:sz w:val="28"/>
          <w:szCs w:val="28"/>
        </w:rPr>
        <w:t>WM Specialty Mortg., LLC v. Salomon</w:t>
      </w:r>
      <w:r>
        <w:rPr>
          <w:sz w:val="28"/>
          <w:szCs w:val="28"/>
        </w:rPr>
        <w:t>,</w:t>
      </w:r>
    </w:p>
    <w:p w:rsidR="00276300" w:rsidRDefault="00276300" w:rsidP="00276300">
      <w:pPr>
        <w:pStyle w:val="FootnoteText"/>
        <w:tabs>
          <w:tab w:val="right" w:leader="dot" w:pos="9360"/>
        </w:tabs>
        <w:rPr>
          <w:spacing w:val="-10"/>
          <w:sz w:val="28"/>
          <w:szCs w:val="28"/>
        </w:rPr>
      </w:pPr>
      <w:r>
        <w:rPr>
          <w:spacing w:val="-10"/>
          <w:sz w:val="28"/>
          <w:szCs w:val="28"/>
        </w:rPr>
        <w:t xml:space="preserve"> </w:t>
      </w:r>
      <w:r>
        <w:rPr>
          <w:sz w:val="28"/>
          <w:szCs w:val="28"/>
        </w:rPr>
        <w:t>874 So. 2d 680 (Fla. 4th DCA 2004)</w:t>
      </w:r>
      <w:r>
        <w:rPr>
          <w:spacing w:val="-10"/>
          <w:sz w:val="28"/>
          <w:szCs w:val="28"/>
        </w:rPr>
        <w:tab/>
        <w:t>20</w:t>
      </w:r>
    </w:p>
    <w:p w:rsidR="00276300" w:rsidRDefault="00276300" w:rsidP="00276300">
      <w:pPr>
        <w:pStyle w:val="FootnoteText"/>
        <w:tabs>
          <w:tab w:val="right" w:leader="dot" w:pos="9360"/>
        </w:tabs>
        <w:rPr>
          <w:spacing w:val="-10"/>
          <w:sz w:val="28"/>
          <w:szCs w:val="28"/>
        </w:rPr>
      </w:pPr>
    </w:p>
    <w:p w:rsidR="00276300" w:rsidRDefault="00276300" w:rsidP="00276300">
      <w:pPr>
        <w:spacing w:line="216" w:lineRule="auto"/>
        <w:jc w:val="center"/>
        <w:rPr>
          <w:b/>
          <w:caps/>
          <w:spacing w:val="-10"/>
          <w:sz w:val="28"/>
          <w:szCs w:val="28"/>
        </w:rPr>
      </w:pPr>
      <w:r>
        <w:rPr>
          <w:b/>
          <w:caps/>
          <w:spacing w:val="-10"/>
          <w:sz w:val="28"/>
          <w:szCs w:val="28"/>
        </w:rPr>
        <w:t>statutes and rules</w:t>
      </w: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r>
        <w:rPr>
          <w:sz w:val="28"/>
          <w:szCs w:val="28"/>
        </w:rPr>
        <w:t>24 C.F.R. §3500.2(b)</w:t>
      </w:r>
      <w:r>
        <w:rPr>
          <w:spacing w:val="-10"/>
          <w:sz w:val="28"/>
          <w:szCs w:val="28"/>
        </w:rPr>
        <w:tab/>
        <w:t>9</w:t>
      </w:r>
    </w:p>
    <w:p w:rsidR="00276300" w:rsidRDefault="00276300" w:rsidP="00276300">
      <w:pPr>
        <w:tabs>
          <w:tab w:val="right" w:leader="dot" w:pos="9360"/>
        </w:tabs>
        <w:spacing w:line="216" w:lineRule="auto"/>
        <w:rPr>
          <w:spacing w:val="-10"/>
          <w:sz w:val="28"/>
          <w:szCs w:val="28"/>
        </w:rPr>
      </w:pPr>
    </w:p>
    <w:p w:rsidR="00276300" w:rsidRDefault="00276300" w:rsidP="00276300">
      <w:pPr>
        <w:pStyle w:val="FootnoteText"/>
        <w:tabs>
          <w:tab w:val="right" w:leader="dot" w:pos="9360"/>
        </w:tabs>
        <w:rPr>
          <w:spacing w:val="-10"/>
          <w:sz w:val="28"/>
          <w:szCs w:val="28"/>
        </w:rPr>
      </w:pPr>
      <w:r>
        <w:rPr>
          <w:sz w:val="28"/>
          <w:szCs w:val="28"/>
        </w:rPr>
        <w:t>Fla. Stat. §59.041</w:t>
      </w:r>
      <w:r>
        <w:rPr>
          <w:spacing w:val="-10"/>
          <w:sz w:val="28"/>
          <w:szCs w:val="28"/>
        </w:rPr>
        <w:tab/>
        <w:t>27</w:t>
      </w:r>
    </w:p>
    <w:p w:rsidR="00276300" w:rsidRDefault="00276300" w:rsidP="00276300">
      <w:pPr>
        <w:pStyle w:val="FootnoteText"/>
        <w:tabs>
          <w:tab w:val="right" w:leader="dot" w:pos="9360"/>
        </w:tabs>
        <w:rPr>
          <w:sz w:val="28"/>
          <w:szCs w:val="28"/>
        </w:rPr>
      </w:pPr>
    </w:p>
    <w:p w:rsidR="00276300" w:rsidRDefault="00276300" w:rsidP="00276300">
      <w:pPr>
        <w:pStyle w:val="FootnoteText"/>
        <w:tabs>
          <w:tab w:val="right" w:leader="dot" w:pos="9360"/>
        </w:tabs>
        <w:rPr>
          <w:spacing w:val="-10"/>
          <w:sz w:val="28"/>
          <w:szCs w:val="28"/>
        </w:rPr>
      </w:pPr>
      <w:r>
        <w:rPr>
          <w:sz w:val="28"/>
          <w:szCs w:val="28"/>
        </w:rPr>
        <w:t>Fla. Stat. §90.401</w:t>
      </w:r>
      <w:r>
        <w:rPr>
          <w:spacing w:val="-10"/>
          <w:sz w:val="28"/>
          <w:szCs w:val="28"/>
        </w:rPr>
        <w:tab/>
        <w:t>25</w:t>
      </w: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r>
        <w:rPr>
          <w:sz w:val="28"/>
          <w:szCs w:val="28"/>
        </w:rPr>
        <w:t>Fla. Stat. §90.402</w:t>
      </w:r>
      <w:r>
        <w:rPr>
          <w:spacing w:val="-10"/>
          <w:sz w:val="28"/>
          <w:szCs w:val="28"/>
        </w:rPr>
        <w:tab/>
        <w:t>25</w:t>
      </w:r>
    </w:p>
    <w:p w:rsidR="00276300" w:rsidRDefault="00276300" w:rsidP="00276300">
      <w:pPr>
        <w:pStyle w:val="FootnoteText"/>
        <w:tabs>
          <w:tab w:val="right" w:leader="dot" w:pos="9360"/>
        </w:tabs>
        <w:rPr>
          <w:sz w:val="28"/>
          <w:szCs w:val="28"/>
        </w:rPr>
      </w:pPr>
    </w:p>
    <w:p w:rsidR="00276300" w:rsidRDefault="00276300" w:rsidP="00276300">
      <w:pPr>
        <w:pStyle w:val="FootnoteText"/>
        <w:tabs>
          <w:tab w:val="right" w:leader="dot" w:pos="9360"/>
        </w:tabs>
        <w:rPr>
          <w:spacing w:val="-10"/>
          <w:sz w:val="28"/>
          <w:szCs w:val="28"/>
        </w:rPr>
      </w:pPr>
      <w:r>
        <w:rPr>
          <w:sz w:val="28"/>
          <w:szCs w:val="28"/>
        </w:rPr>
        <w:t>Fla. Stat. §90.403</w:t>
      </w:r>
      <w:r>
        <w:rPr>
          <w:spacing w:val="-10"/>
          <w:sz w:val="28"/>
          <w:szCs w:val="28"/>
        </w:rPr>
        <w:tab/>
        <w:t>26-27</w:t>
      </w:r>
    </w:p>
    <w:p w:rsidR="00276300" w:rsidRDefault="00276300" w:rsidP="00276300">
      <w:pPr>
        <w:pStyle w:val="FootnoteText"/>
        <w:tabs>
          <w:tab w:val="right" w:leader="dot" w:pos="9360"/>
        </w:tabs>
        <w:rPr>
          <w:sz w:val="28"/>
          <w:szCs w:val="28"/>
        </w:rPr>
      </w:pPr>
    </w:p>
    <w:p w:rsidR="00276300" w:rsidRDefault="00276300" w:rsidP="00276300">
      <w:pPr>
        <w:pStyle w:val="FootnoteText"/>
        <w:tabs>
          <w:tab w:val="right" w:leader="dot" w:pos="9360"/>
        </w:tabs>
        <w:rPr>
          <w:spacing w:val="-10"/>
          <w:sz w:val="28"/>
          <w:szCs w:val="28"/>
        </w:rPr>
      </w:pPr>
      <w:r>
        <w:rPr>
          <w:sz w:val="28"/>
          <w:szCs w:val="28"/>
        </w:rPr>
        <w:t>Fla. Stat. §90.604</w:t>
      </w:r>
      <w:r>
        <w:rPr>
          <w:spacing w:val="-10"/>
          <w:sz w:val="28"/>
          <w:szCs w:val="28"/>
        </w:rPr>
        <w:tab/>
        <w:t>29</w:t>
      </w:r>
    </w:p>
    <w:p w:rsidR="00276300" w:rsidRDefault="00276300" w:rsidP="00276300">
      <w:pPr>
        <w:pStyle w:val="FootnoteText"/>
        <w:tabs>
          <w:tab w:val="right" w:leader="dot" w:pos="9360"/>
        </w:tabs>
        <w:rPr>
          <w:sz w:val="28"/>
          <w:szCs w:val="28"/>
        </w:rPr>
      </w:pPr>
    </w:p>
    <w:p w:rsidR="00276300" w:rsidRDefault="00276300" w:rsidP="00276300">
      <w:pPr>
        <w:pStyle w:val="FootnoteText"/>
        <w:tabs>
          <w:tab w:val="right" w:leader="dot" w:pos="9360"/>
        </w:tabs>
        <w:rPr>
          <w:spacing w:val="-10"/>
          <w:sz w:val="28"/>
          <w:szCs w:val="28"/>
        </w:rPr>
      </w:pPr>
      <w:r>
        <w:rPr>
          <w:sz w:val="28"/>
          <w:szCs w:val="28"/>
        </w:rPr>
        <w:t>Fla. Stat. §90.803(6)</w:t>
      </w:r>
      <w:r>
        <w:rPr>
          <w:spacing w:val="-10"/>
          <w:sz w:val="28"/>
          <w:szCs w:val="28"/>
        </w:rPr>
        <w:tab/>
        <w:t>30</w:t>
      </w:r>
    </w:p>
    <w:p w:rsidR="00276300" w:rsidRDefault="00276300" w:rsidP="00276300">
      <w:pPr>
        <w:pStyle w:val="FootnoteText"/>
        <w:tabs>
          <w:tab w:val="right" w:leader="dot" w:pos="9360"/>
        </w:tabs>
        <w:rPr>
          <w:sz w:val="28"/>
          <w:szCs w:val="28"/>
        </w:rPr>
      </w:pPr>
    </w:p>
    <w:p w:rsidR="00276300" w:rsidRDefault="00276300" w:rsidP="00276300">
      <w:pPr>
        <w:pStyle w:val="FootnoteText"/>
        <w:tabs>
          <w:tab w:val="right" w:leader="dot" w:pos="9360"/>
        </w:tabs>
        <w:rPr>
          <w:spacing w:val="-10"/>
          <w:sz w:val="28"/>
          <w:szCs w:val="28"/>
        </w:rPr>
      </w:pPr>
      <w:r>
        <w:rPr>
          <w:sz w:val="28"/>
          <w:szCs w:val="28"/>
        </w:rPr>
        <w:t>Fla. Stat. §90.902(4)</w:t>
      </w:r>
      <w:r>
        <w:rPr>
          <w:spacing w:val="-10"/>
          <w:sz w:val="28"/>
          <w:szCs w:val="28"/>
        </w:rPr>
        <w:tab/>
        <w:t>24</w:t>
      </w:r>
    </w:p>
    <w:p w:rsidR="00276300" w:rsidRDefault="00276300" w:rsidP="00276300">
      <w:pPr>
        <w:pStyle w:val="FootnoteText"/>
        <w:tabs>
          <w:tab w:val="right" w:leader="dot" w:pos="9360"/>
        </w:tabs>
        <w:rPr>
          <w:sz w:val="28"/>
          <w:szCs w:val="28"/>
        </w:rPr>
      </w:pPr>
    </w:p>
    <w:p w:rsidR="00276300" w:rsidRDefault="00276300" w:rsidP="00276300">
      <w:pPr>
        <w:pStyle w:val="FootnoteText"/>
        <w:tabs>
          <w:tab w:val="right" w:leader="dot" w:pos="9360"/>
        </w:tabs>
        <w:rPr>
          <w:spacing w:val="-10"/>
          <w:sz w:val="28"/>
          <w:szCs w:val="28"/>
        </w:rPr>
      </w:pPr>
      <w:r>
        <w:rPr>
          <w:sz w:val="28"/>
          <w:szCs w:val="28"/>
        </w:rPr>
        <w:t>Fla. Stat. §671.103</w:t>
      </w:r>
      <w:r>
        <w:rPr>
          <w:spacing w:val="-10"/>
          <w:sz w:val="28"/>
          <w:szCs w:val="28"/>
        </w:rPr>
        <w:tab/>
        <w:t>23</w:t>
      </w:r>
    </w:p>
    <w:p w:rsidR="00276300" w:rsidRDefault="00276300" w:rsidP="00276300">
      <w:pPr>
        <w:pStyle w:val="FootnoteText"/>
        <w:tabs>
          <w:tab w:val="right" w:leader="dot" w:pos="9360"/>
        </w:tabs>
        <w:rPr>
          <w:sz w:val="28"/>
          <w:szCs w:val="28"/>
        </w:rPr>
      </w:pPr>
    </w:p>
    <w:p w:rsidR="00276300" w:rsidRDefault="00276300" w:rsidP="00276300">
      <w:pPr>
        <w:pStyle w:val="FootnoteText"/>
        <w:tabs>
          <w:tab w:val="right" w:leader="dot" w:pos="9360"/>
        </w:tabs>
        <w:rPr>
          <w:spacing w:val="-10"/>
          <w:sz w:val="28"/>
          <w:szCs w:val="28"/>
        </w:rPr>
      </w:pPr>
      <w:r>
        <w:rPr>
          <w:sz w:val="28"/>
          <w:szCs w:val="28"/>
        </w:rPr>
        <w:t>Fla. Stat. §671.201(21)(a)</w:t>
      </w:r>
      <w:r>
        <w:rPr>
          <w:spacing w:val="-10"/>
          <w:sz w:val="28"/>
          <w:szCs w:val="28"/>
        </w:rPr>
        <w:tab/>
        <w:t>22</w:t>
      </w: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r>
        <w:rPr>
          <w:sz w:val="28"/>
          <w:szCs w:val="28"/>
        </w:rPr>
        <w:t>Fla. Stat. §673.1041(1)</w:t>
      </w:r>
      <w:r>
        <w:rPr>
          <w:spacing w:val="-10"/>
          <w:sz w:val="28"/>
          <w:szCs w:val="28"/>
        </w:rPr>
        <w:tab/>
        <w:t>14, 15, 16, 19, 21</w:t>
      </w: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r>
        <w:rPr>
          <w:sz w:val="28"/>
          <w:szCs w:val="28"/>
        </w:rPr>
        <w:t>Fla. Stat. §673.1061(b)</w:t>
      </w:r>
      <w:r>
        <w:rPr>
          <w:spacing w:val="-10"/>
          <w:sz w:val="28"/>
          <w:szCs w:val="28"/>
        </w:rPr>
        <w:tab/>
        <w:t>21</w:t>
      </w:r>
    </w:p>
    <w:p w:rsidR="00276300" w:rsidRDefault="00276300" w:rsidP="00276300">
      <w:pPr>
        <w:pStyle w:val="FootnoteText"/>
        <w:tabs>
          <w:tab w:val="right" w:leader="dot" w:pos="9360"/>
        </w:tabs>
        <w:rPr>
          <w:sz w:val="28"/>
          <w:szCs w:val="28"/>
        </w:rPr>
      </w:pPr>
    </w:p>
    <w:p w:rsidR="00276300" w:rsidRDefault="00276300" w:rsidP="00276300">
      <w:pPr>
        <w:pStyle w:val="FootnoteText"/>
        <w:tabs>
          <w:tab w:val="right" w:leader="dot" w:pos="9360"/>
        </w:tabs>
        <w:rPr>
          <w:spacing w:val="-10"/>
          <w:sz w:val="28"/>
          <w:szCs w:val="28"/>
        </w:rPr>
      </w:pPr>
      <w:r>
        <w:rPr>
          <w:sz w:val="28"/>
          <w:szCs w:val="28"/>
        </w:rPr>
        <w:t>Fla. Stat. §673.1061(c)</w:t>
      </w:r>
      <w:r>
        <w:rPr>
          <w:spacing w:val="-10"/>
          <w:sz w:val="28"/>
          <w:szCs w:val="28"/>
        </w:rPr>
        <w:tab/>
        <w:t>21</w:t>
      </w:r>
    </w:p>
    <w:p w:rsidR="00276300" w:rsidRDefault="00276300" w:rsidP="00276300">
      <w:pPr>
        <w:pStyle w:val="FootnoteText"/>
        <w:tabs>
          <w:tab w:val="right" w:leader="dot" w:pos="9360"/>
        </w:tabs>
        <w:rPr>
          <w:sz w:val="28"/>
          <w:szCs w:val="28"/>
        </w:rPr>
      </w:pPr>
    </w:p>
    <w:p w:rsidR="00276300" w:rsidRDefault="00276300" w:rsidP="00276300">
      <w:pPr>
        <w:pStyle w:val="FootnoteText"/>
        <w:tabs>
          <w:tab w:val="right" w:leader="dot" w:pos="9360"/>
        </w:tabs>
        <w:rPr>
          <w:spacing w:val="-10"/>
          <w:sz w:val="28"/>
          <w:szCs w:val="28"/>
        </w:rPr>
      </w:pPr>
      <w:r>
        <w:rPr>
          <w:sz w:val="28"/>
          <w:szCs w:val="28"/>
        </w:rPr>
        <w:t>Fla. Stat. §673.2011(2)</w:t>
      </w:r>
      <w:r>
        <w:rPr>
          <w:spacing w:val="-10"/>
          <w:sz w:val="28"/>
          <w:szCs w:val="28"/>
        </w:rPr>
        <w:tab/>
        <w:t>22</w:t>
      </w: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r>
        <w:rPr>
          <w:sz w:val="28"/>
          <w:szCs w:val="28"/>
        </w:rPr>
        <w:t>Fla. Stat. §673.2031(1)</w:t>
      </w:r>
      <w:r>
        <w:rPr>
          <w:spacing w:val="-10"/>
          <w:sz w:val="28"/>
          <w:szCs w:val="28"/>
        </w:rPr>
        <w:tab/>
        <w:t>22</w:t>
      </w: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r>
        <w:rPr>
          <w:sz w:val="28"/>
          <w:szCs w:val="28"/>
        </w:rPr>
        <w:t>Fla. Stat. §673.3011</w:t>
      </w:r>
      <w:r>
        <w:rPr>
          <w:spacing w:val="-10"/>
          <w:sz w:val="28"/>
          <w:szCs w:val="28"/>
        </w:rPr>
        <w:tab/>
        <w:t>22</w:t>
      </w: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r>
        <w:rPr>
          <w:spacing w:val="-10"/>
          <w:sz w:val="28"/>
          <w:szCs w:val="28"/>
        </w:rPr>
        <w:lastRenderedPageBreak/>
        <w:t xml:space="preserve">Rule </w:t>
      </w:r>
      <w:r>
        <w:rPr>
          <w:sz w:val="28"/>
          <w:szCs w:val="28"/>
        </w:rPr>
        <w:t>9.030(b)(1)(A)</w:t>
      </w:r>
      <w:r>
        <w:rPr>
          <w:spacing w:val="-10"/>
          <w:sz w:val="28"/>
          <w:szCs w:val="28"/>
        </w:rPr>
        <w:tab/>
        <w:t>1</w:t>
      </w: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r>
        <w:rPr>
          <w:spacing w:val="-10"/>
          <w:sz w:val="28"/>
          <w:szCs w:val="28"/>
        </w:rPr>
        <w:t>Rule 1.210(a), Fla. R. Civ. Pro.</w:t>
      </w:r>
      <w:r>
        <w:rPr>
          <w:spacing w:val="-10"/>
          <w:sz w:val="28"/>
          <w:szCs w:val="28"/>
        </w:rPr>
        <w:tab/>
        <w:t>12</w:t>
      </w: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jc w:val="center"/>
        <w:rPr>
          <w:smallCaps/>
          <w:spacing w:val="-10"/>
          <w:sz w:val="28"/>
          <w:szCs w:val="28"/>
        </w:rPr>
      </w:pPr>
      <w:r>
        <w:rPr>
          <w:b/>
          <w:caps/>
          <w:spacing w:val="-10"/>
          <w:sz w:val="28"/>
          <w:szCs w:val="28"/>
        </w:rPr>
        <w:t>other authorties</w:t>
      </w: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r>
        <w:rPr>
          <w:sz w:val="28"/>
          <w:szCs w:val="28"/>
        </w:rPr>
        <w:t xml:space="preserve">C. Ehrhardt, </w:t>
      </w:r>
      <w:r>
        <w:rPr>
          <w:i/>
          <w:sz w:val="28"/>
          <w:szCs w:val="28"/>
        </w:rPr>
        <w:t>Florida Evidence</w:t>
      </w:r>
      <w:r>
        <w:rPr>
          <w:sz w:val="28"/>
          <w:szCs w:val="28"/>
        </w:rPr>
        <w:t xml:space="preserve"> §403.1 (2010 ed.)</w:t>
      </w:r>
      <w:r>
        <w:rPr>
          <w:spacing w:val="-10"/>
          <w:sz w:val="28"/>
          <w:szCs w:val="28"/>
        </w:rPr>
        <w:tab/>
        <w:t>27</w:t>
      </w:r>
    </w:p>
    <w:p w:rsidR="00276300" w:rsidRDefault="00276300" w:rsidP="00276300">
      <w:pPr>
        <w:pStyle w:val="FootnoteText"/>
        <w:tabs>
          <w:tab w:val="right" w:leader="dot" w:pos="9360"/>
        </w:tabs>
        <w:rPr>
          <w:sz w:val="28"/>
          <w:szCs w:val="28"/>
        </w:rPr>
      </w:pPr>
    </w:p>
    <w:p w:rsidR="00276300" w:rsidRDefault="00276300" w:rsidP="00276300">
      <w:pPr>
        <w:pStyle w:val="FootnoteText"/>
        <w:tabs>
          <w:tab w:val="right" w:leader="dot" w:pos="9360"/>
        </w:tabs>
        <w:rPr>
          <w:spacing w:val="-10"/>
          <w:sz w:val="28"/>
          <w:szCs w:val="28"/>
        </w:rPr>
      </w:pPr>
      <w:r>
        <w:rPr>
          <w:sz w:val="28"/>
          <w:szCs w:val="28"/>
        </w:rPr>
        <w:t xml:space="preserve">C. Ehrhardt, </w:t>
      </w:r>
      <w:r>
        <w:rPr>
          <w:i/>
          <w:sz w:val="28"/>
          <w:szCs w:val="28"/>
        </w:rPr>
        <w:t>Florida Evidence</w:t>
      </w:r>
      <w:r>
        <w:rPr>
          <w:sz w:val="28"/>
          <w:szCs w:val="28"/>
        </w:rPr>
        <w:t xml:space="preserve"> §902.1 (2010 ed.)</w:t>
      </w:r>
      <w:r>
        <w:rPr>
          <w:spacing w:val="-10"/>
          <w:sz w:val="28"/>
          <w:szCs w:val="28"/>
        </w:rPr>
        <w:tab/>
        <w:t>24</w:t>
      </w: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r>
        <w:rPr>
          <w:sz w:val="28"/>
          <w:szCs w:val="28"/>
        </w:rPr>
        <w:t xml:space="preserve">D. Whitman, </w:t>
      </w:r>
      <w:r>
        <w:rPr>
          <w:i/>
          <w:sz w:val="28"/>
          <w:szCs w:val="28"/>
        </w:rPr>
        <w:t>How Negotiability Has Fouled Up the Secondary Mortgage Market,and What to Do About it</w:t>
      </w:r>
      <w:r>
        <w:rPr>
          <w:sz w:val="28"/>
          <w:szCs w:val="28"/>
        </w:rPr>
        <w:t>, 37 Pepp. L. Rv. 737, 754 (2010)</w:t>
      </w:r>
      <w:r>
        <w:rPr>
          <w:spacing w:val="-10"/>
          <w:sz w:val="28"/>
          <w:szCs w:val="28"/>
        </w:rPr>
        <w:tab/>
        <w:t>13</w:t>
      </w: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p>
    <w:p w:rsidR="00276300" w:rsidRDefault="00276300" w:rsidP="00276300">
      <w:pPr>
        <w:pStyle w:val="FootnoteText"/>
        <w:tabs>
          <w:tab w:val="right" w:leader="dot" w:pos="9360"/>
        </w:tabs>
        <w:rPr>
          <w:spacing w:val="-10"/>
          <w:sz w:val="28"/>
          <w:szCs w:val="28"/>
        </w:rPr>
      </w:pPr>
    </w:p>
    <w:p w:rsidR="00276300" w:rsidRPr="00276300" w:rsidRDefault="00276300" w:rsidP="00276300">
      <w:pPr>
        <w:pStyle w:val="FootnoteText"/>
        <w:tabs>
          <w:tab w:val="right" w:leader="dot" w:pos="9360"/>
        </w:tabs>
        <w:rPr>
          <w:spacing w:val="-10"/>
          <w:sz w:val="28"/>
          <w:szCs w:val="28"/>
        </w:rPr>
      </w:pPr>
    </w:p>
    <w:p w:rsidR="00C80060" w:rsidRDefault="00C80060" w:rsidP="002104E6">
      <w:pPr>
        <w:spacing w:line="480" w:lineRule="auto"/>
        <w:jc w:val="center"/>
        <w:rPr>
          <w:b/>
          <w:sz w:val="28"/>
          <w:szCs w:val="28"/>
        </w:rPr>
      </w:pPr>
      <w:r>
        <w:rPr>
          <w:b/>
          <w:sz w:val="28"/>
          <w:szCs w:val="28"/>
        </w:rPr>
        <w:lastRenderedPageBreak/>
        <w:t>PRELIMINARY STATEMENT</w:t>
      </w:r>
    </w:p>
    <w:p w:rsidR="00824BD8" w:rsidRDefault="00C80060" w:rsidP="00C80060">
      <w:pPr>
        <w:spacing w:line="480" w:lineRule="auto"/>
        <w:jc w:val="both"/>
        <w:rPr>
          <w:sz w:val="28"/>
          <w:szCs w:val="28"/>
        </w:rPr>
        <w:sectPr w:rsidR="00824BD8" w:rsidSect="00276300">
          <w:footerReference w:type="default" r:id="rId12"/>
          <w:type w:val="continuous"/>
          <w:pgSz w:w="12240" w:h="15840"/>
          <w:pgMar w:top="1440" w:right="1440" w:bottom="1440" w:left="1440" w:header="720" w:footer="720" w:gutter="0"/>
          <w:pgNumType w:fmt="lowerRoman" w:start="1"/>
          <w:cols w:space="720"/>
          <w:titlePg/>
          <w:docGrid w:linePitch="360"/>
        </w:sectPr>
      </w:pPr>
      <w:r>
        <w:rPr>
          <w:sz w:val="28"/>
          <w:szCs w:val="28"/>
        </w:rPr>
        <w:tab/>
        <w:t xml:space="preserve">All references in this brief to the record on appeal are designated by the symbol “R” followed by the page range [R.____].  All references to the trial transcript are designated by the symbol “T” followed by the page range [T.____]. </w:t>
      </w:r>
    </w:p>
    <w:p w:rsidR="00C80060" w:rsidRDefault="00C80060" w:rsidP="00C80060">
      <w:pPr>
        <w:spacing w:line="480" w:lineRule="auto"/>
        <w:jc w:val="both"/>
        <w:rPr>
          <w:sz w:val="28"/>
          <w:szCs w:val="28"/>
        </w:rPr>
      </w:pPr>
    </w:p>
    <w:p w:rsidR="00C80060" w:rsidRDefault="00C80060" w:rsidP="00C80060">
      <w:pPr>
        <w:spacing w:line="480" w:lineRule="auto"/>
        <w:jc w:val="both"/>
        <w:rPr>
          <w:sz w:val="28"/>
          <w:szCs w:val="28"/>
        </w:rPr>
      </w:pPr>
    </w:p>
    <w:p w:rsidR="00C80060" w:rsidRDefault="00C80060" w:rsidP="00C80060">
      <w:pPr>
        <w:spacing w:line="480" w:lineRule="auto"/>
        <w:jc w:val="both"/>
        <w:rPr>
          <w:sz w:val="28"/>
          <w:szCs w:val="28"/>
        </w:rPr>
      </w:pPr>
    </w:p>
    <w:p w:rsidR="00C80060" w:rsidRDefault="00C80060" w:rsidP="00C80060">
      <w:pPr>
        <w:spacing w:line="480" w:lineRule="auto"/>
        <w:jc w:val="both"/>
        <w:rPr>
          <w:sz w:val="28"/>
          <w:szCs w:val="28"/>
        </w:rPr>
      </w:pPr>
    </w:p>
    <w:p w:rsidR="00C80060" w:rsidRDefault="00C80060" w:rsidP="00C80060">
      <w:pPr>
        <w:spacing w:line="480" w:lineRule="auto"/>
        <w:jc w:val="both"/>
        <w:rPr>
          <w:sz w:val="28"/>
          <w:szCs w:val="28"/>
        </w:rPr>
      </w:pPr>
    </w:p>
    <w:p w:rsidR="00C80060" w:rsidRDefault="00C80060" w:rsidP="00C80060">
      <w:pPr>
        <w:spacing w:line="480" w:lineRule="auto"/>
        <w:jc w:val="both"/>
        <w:rPr>
          <w:sz w:val="28"/>
          <w:szCs w:val="28"/>
        </w:rPr>
      </w:pPr>
    </w:p>
    <w:p w:rsidR="00C80060" w:rsidRDefault="00C80060" w:rsidP="00C80060">
      <w:pPr>
        <w:spacing w:line="480" w:lineRule="auto"/>
        <w:jc w:val="both"/>
        <w:rPr>
          <w:sz w:val="28"/>
          <w:szCs w:val="28"/>
        </w:rPr>
      </w:pPr>
    </w:p>
    <w:p w:rsidR="00C80060" w:rsidRDefault="00C80060" w:rsidP="00C80060">
      <w:pPr>
        <w:spacing w:line="480" w:lineRule="auto"/>
        <w:jc w:val="both"/>
        <w:rPr>
          <w:sz w:val="28"/>
          <w:szCs w:val="28"/>
        </w:rPr>
      </w:pPr>
    </w:p>
    <w:p w:rsidR="00C80060" w:rsidRDefault="00C80060" w:rsidP="00C80060">
      <w:pPr>
        <w:spacing w:line="480" w:lineRule="auto"/>
        <w:jc w:val="both"/>
        <w:rPr>
          <w:sz w:val="28"/>
          <w:szCs w:val="28"/>
        </w:rPr>
      </w:pPr>
    </w:p>
    <w:p w:rsidR="00C80060" w:rsidRDefault="00C80060" w:rsidP="00C80060">
      <w:pPr>
        <w:spacing w:line="480" w:lineRule="auto"/>
        <w:jc w:val="both"/>
        <w:rPr>
          <w:sz w:val="28"/>
          <w:szCs w:val="28"/>
        </w:rPr>
      </w:pPr>
    </w:p>
    <w:p w:rsidR="00C80060" w:rsidRDefault="00C80060" w:rsidP="00C80060">
      <w:pPr>
        <w:spacing w:line="480" w:lineRule="auto"/>
        <w:jc w:val="both"/>
        <w:rPr>
          <w:sz w:val="28"/>
          <w:szCs w:val="28"/>
        </w:rPr>
      </w:pPr>
    </w:p>
    <w:p w:rsidR="00C80060" w:rsidRDefault="00C80060" w:rsidP="00C80060">
      <w:pPr>
        <w:spacing w:line="480" w:lineRule="auto"/>
        <w:jc w:val="both"/>
        <w:rPr>
          <w:sz w:val="28"/>
          <w:szCs w:val="28"/>
        </w:rPr>
      </w:pPr>
    </w:p>
    <w:p w:rsidR="00C80060" w:rsidRDefault="00C80060" w:rsidP="00C80060">
      <w:pPr>
        <w:spacing w:line="480" w:lineRule="auto"/>
        <w:jc w:val="both"/>
        <w:rPr>
          <w:sz w:val="28"/>
          <w:szCs w:val="28"/>
        </w:rPr>
      </w:pPr>
    </w:p>
    <w:p w:rsidR="00C80060" w:rsidRDefault="00C80060" w:rsidP="00C80060">
      <w:pPr>
        <w:spacing w:line="480" w:lineRule="auto"/>
        <w:jc w:val="both"/>
        <w:rPr>
          <w:sz w:val="28"/>
          <w:szCs w:val="28"/>
        </w:rPr>
      </w:pPr>
    </w:p>
    <w:p w:rsidR="00C80060" w:rsidRDefault="00C80060" w:rsidP="00C80060">
      <w:pPr>
        <w:spacing w:line="480" w:lineRule="auto"/>
        <w:jc w:val="both"/>
        <w:rPr>
          <w:sz w:val="28"/>
          <w:szCs w:val="28"/>
        </w:rPr>
      </w:pPr>
    </w:p>
    <w:p w:rsidR="00C80060" w:rsidRDefault="00C80060" w:rsidP="00C80060">
      <w:pPr>
        <w:spacing w:line="480" w:lineRule="auto"/>
        <w:jc w:val="both"/>
        <w:rPr>
          <w:sz w:val="28"/>
          <w:szCs w:val="28"/>
        </w:rPr>
      </w:pPr>
    </w:p>
    <w:p w:rsidR="00966E5A" w:rsidRDefault="00966E5A" w:rsidP="002104E6">
      <w:pPr>
        <w:spacing w:line="480" w:lineRule="auto"/>
        <w:jc w:val="center"/>
        <w:rPr>
          <w:b/>
          <w:sz w:val="28"/>
          <w:szCs w:val="28"/>
        </w:rPr>
      </w:pPr>
      <w:r>
        <w:rPr>
          <w:b/>
          <w:sz w:val="28"/>
          <w:szCs w:val="28"/>
        </w:rPr>
        <w:lastRenderedPageBreak/>
        <w:t>INTRODUCTION</w:t>
      </w:r>
    </w:p>
    <w:p w:rsidR="00702EF9" w:rsidRDefault="00642B37" w:rsidP="00642B37">
      <w:pPr>
        <w:spacing w:line="480" w:lineRule="auto"/>
        <w:jc w:val="both"/>
        <w:rPr>
          <w:sz w:val="28"/>
          <w:szCs w:val="28"/>
        </w:rPr>
      </w:pPr>
      <w:r>
        <w:rPr>
          <w:sz w:val="28"/>
          <w:szCs w:val="28"/>
        </w:rPr>
        <w:tab/>
      </w:r>
      <w:r w:rsidR="007860F9">
        <w:rPr>
          <w:sz w:val="28"/>
          <w:szCs w:val="28"/>
        </w:rPr>
        <w:t xml:space="preserve">Whether an agent acting on behalf of an undisclosed principal must introduce some scintilla of evidence that it has the authority to act when specifically challenged by a party against whom that agent seeks to act </w:t>
      </w:r>
      <w:r>
        <w:rPr>
          <w:sz w:val="28"/>
          <w:szCs w:val="28"/>
        </w:rPr>
        <w:t>is a central theme articulated in this appeal from a final judgment of foreclosure entered in favor of Residential Credit Solutions, Inc. (“RCS”) and against Ernest C. Hassell and Teri Ditrrich-Hassell (collective “Homeowners”)</w:t>
      </w:r>
      <w:r w:rsidR="00702EF9">
        <w:rPr>
          <w:sz w:val="28"/>
          <w:szCs w:val="28"/>
        </w:rPr>
        <w:t xml:space="preserve">.  This </w:t>
      </w:r>
      <w:r>
        <w:rPr>
          <w:sz w:val="28"/>
          <w:szCs w:val="28"/>
        </w:rPr>
        <w:t xml:space="preserve">Court has jurisdiction to hear </w:t>
      </w:r>
      <w:r w:rsidR="00702EF9">
        <w:rPr>
          <w:sz w:val="28"/>
          <w:szCs w:val="28"/>
        </w:rPr>
        <w:t>this question</w:t>
      </w:r>
      <w:r w:rsidR="00AD089F">
        <w:rPr>
          <w:sz w:val="28"/>
          <w:szCs w:val="28"/>
        </w:rPr>
        <w:t>, and the other questions posed,</w:t>
      </w:r>
      <w:r w:rsidR="00702EF9">
        <w:rPr>
          <w:sz w:val="28"/>
          <w:szCs w:val="28"/>
        </w:rPr>
        <w:t xml:space="preserve"> </w:t>
      </w:r>
      <w:r>
        <w:rPr>
          <w:sz w:val="28"/>
          <w:szCs w:val="28"/>
        </w:rPr>
        <w:t xml:space="preserve">pursuant to Fla. R. App. P. 9.030(b)(1)(A).  </w:t>
      </w:r>
    </w:p>
    <w:p w:rsidR="005C279B" w:rsidRDefault="00702EF9" w:rsidP="00642B37">
      <w:pPr>
        <w:spacing w:line="480" w:lineRule="auto"/>
        <w:jc w:val="both"/>
        <w:rPr>
          <w:sz w:val="28"/>
          <w:szCs w:val="28"/>
        </w:rPr>
      </w:pPr>
      <w:r>
        <w:rPr>
          <w:sz w:val="28"/>
          <w:szCs w:val="28"/>
        </w:rPr>
        <w:tab/>
      </w:r>
      <w:r w:rsidR="00642B37">
        <w:rPr>
          <w:sz w:val="28"/>
          <w:szCs w:val="28"/>
        </w:rPr>
        <w:t xml:space="preserve">While this Court has recently been faced with numerous foreclosure appeals regarding “standing to sue” in the recent past, this appeal places the following narrow issues regarding standing before the Court: (1) whether a “servicer” of a mortgage loan is required to present some evidence of its undisclosed principal’s ratification of its act of suing at a trial on the matter; (2) whether the promissory note at issue is a negotiable instrument and therefore standing may be acquired through mere possession of </w:t>
      </w:r>
      <w:r w:rsidR="005C279B">
        <w:rPr>
          <w:sz w:val="28"/>
          <w:szCs w:val="28"/>
        </w:rPr>
        <w:t>the note alone; and (3) assuming the note is negotiable, whether the promissory note has been constructively delivered to a “servicer’s” undisclosed principal who thereby becomes the holder of the instrument.</w:t>
      </w:r>
    </w:p>
    <w:p w:rsidR="00642B37" w:rsidRPr="00642B37" w:rsidRDefault="005C279B" w:rsidP="00642B37">
      <w:pPr>
        <w:spacing w:line="480" w:lineRule="auto"/>
        <w:jc w:val="both"/>
        <w:rPr>
          <w:sz w:val="28"/>
          <w:szCs w:val="28"/>
        </w:rPr>
      </w:pPr>
      <w:r>
        <w:rPr>
          <w:sz w:val="28"/>
          <w:szCs w:val="28"/>
        </w:rPr>
        <w:tab/>
        <w:t>Additionally, this appeal asks this Court to review two ev</w:t>
      </w:r>
      <w:r w:rsidR="00C80060">
        <w:rPr>
          <w:sz w:val="28"/>
          <w:szCs w:val="28"/>
        </w:rPr>
        <w:t xml:space="preserve">identiary rulings made by the </w:t>
      </w:r>
      <w:r>
        <w:rPr>
          <w:sz w:val="28"/>
          <w:szCs w:val="28"/>
        </w:rPr>
        <w:t>court</w:t>
      </w:r>
      <w:r w:rsidR="00C80060">
        <w:rPr>
          <w:sz w:val="28"/>
          <w:szCs w:val="28"/>
        </w:rPr>
        <w:t xml:space="preserve"> below</w:t>
      </w:r>
      <w:r>
        <w:rPr>
          <w:sz w:val="28"/>
          <w:szCs w:val="28"/>
        </w:rPr>
        <w:t xml:space="preserve"> at trial.  First, Homeowners appeal the trial court’s </w:t>
      </w:r>
      <w:r>
        <w:rPr>
          <w:sz w:val="28"/>
          <w:szCs w:val="28"/>
        </w:rPr>
        <w:lastRenderedPageBreak/>
        <w:t xml:space="preserve">decision to sustain RCS’s objection to the </w:t>
      </w:r>
      <w:r w:rsidR="00C80060">
        <w:rPr>
          <w:sz w:val="28"/>
          <w:szCs w:val="28"/>
        </w:rPr>
        <w:t>admission</w:t>
      </w:r>
      <w:r>
        <w:rPr>
          <w:sz w:val="28"/>
          <w:szCs w:val="28"/>
        </w:rPr>
        <w:t xml:space="preserve"> of an assignment of mortgage (“assignment”).  This assignment tended to disprove a material fact RCS was required to prove up at trial: that its standing to sue was created prior to the filing of the lawsuit.  Also, Homeowners appeal the trial court’s decision to overrule their objection to a witness’s testimony regarding when </w:t>
      </w:r>
      <w:r w:rsidR="00C80060">
        <w:rPr>
          <w:sz w:val="28"/>
          <w:szCs w:val="28"/>
        </w:rPr>
        <w:t xml:space="preserve">RCS’s </w:t>
      </w:r>
      <w:r>
        <w:rPr>
          <w:sz w:val="28"/>
          <w:szCs w:val="28"/>
        </w:rPr>
        <w:t xml:space="preserve">standing to sue could have </w:t>
      </w:r>
      <w:r w:rsidR="00C80060">
        <w:rPr>
          <w:sz w:val="28"/>
          <w:szCs w:val="28"/>
        </w:rPr>
        <w:t>accrued</w:t>
      </w:r>
      <w:r>
        <w:rPr>
          <w:sz w:val="28"/>
          <w:szCs w:val="28"/>
        </w:rPr>
        <w:t xml:space="preserve">.  Because the witness’s testimony was made from her review of “business records” rather than her personal knowledge, RCS was required to introduce the records prior to the witness’s testimony.  </w:t>
      </w:r>
      <w:r w:rsidR="00AD089F">
        <w:rPr>
          <w:sz w:val="28"/>
          <w:szCs w:val="28"/>
        </w:rPr>
        <w:t>Since</w:t>
      </w:r>
      <w:r>
        <w:rPr>
          <w:sz w:val="28"/>
          <w:szCs w:val="28"/>
        </w:rPr>
        <w:t xml:space="preserve"> RCS failed to do this, the witness’s statements were inadmissible and unauthenticated hearsay.</w:t>
      </w:r>
      <w:r w:rsidR="00642B37">
        <w:rPr>
          <w:sz w:val="28"/>
          <w:szCs w:val="28"/>
        </w:rPr>
        <w:t xml:space="preserve"> </w:t>
      </w:r>
    </w:p>
    <w:p w:rsidR="00966E5A" w:rsidRDefault="00966E5A" w:rsidP="002104E6">
      <w:pPr>
        <w:spacing w:line="480" w:lineRule="auto"/>
        <w:jc w:val="center"/>
        <w:rPr>
          <w:b/>
          <w:sz w:val="28"/>
          <w:szCs w:val="28"/>
        </w:rPr>
      </w:pPr>
      <w:r>
        <w:rPr>
          <w:b/>
          <w:sz w:val="28"/>
          <w:szCs w:val="28"/>
        </w:rPr>
        <w:t>STATEMENT OF THE CASE AND FACTS</w:t>
      </w:r>
    </w:p>
    <w:p w:rsidR="00BC0372" w:rsidRDefault="00642B37" w:rsidP="00642B37">
      <w:pPr>
        <w:spacing w:line="480" w:lineRule="auto"/>
        <w:jc w:val="both"/>
        <w:rPr>
          <w:sz w:val="28"/>
          <w:szCs w:val="28"/>
        </w:rPr>
      </w:pPr>
      <w:r>
        <w:rPr>
          <w:sz w:val="28"/>
          <w:szCs w:val="28"/>
        </w:rPr>
        <w:tab/>
      </w:r>
      <w:r w:rsidR="005C279B">
        <w:rPr>
          <w:sz w:val="28"/>
          <w:szCs w:val="28"/>
        </w:rPr>
        <w:t>In</w:t>
      </w:r>
      <w:r w:rsidR="00C80D88">
        <w:rPr>
          <w:sz w:val="28"/>
          <w:szCs w:val="28"/>
        </w:rPr>
        <w:t xml:space="preserve"> the</w:t>
      </w:r>
      <w:r w:rsidR="005C279B">
        <w:rPr>
          <w:sz w:val="28"/>
          <w:szCs w:val="28"/>
        </w:rPr>
        <w:t xml:space="preserve"> initial complaint filed by America Home Mortgage</w:t>
      </w:r>
      <w:r w:rsidR="00C80D88">
        <w:rPr>
          <w:sz w:val="28"/>
          <w:szCs w:val="28"/>
        </w:rPr>
        <w:t xml:space="preserve"> Servicing, Inc. (“AHMSI”), AHMSI pled for both foreclosure of Homeowners’ mortgage and to “re-establish” the promissory note which the mortgage secured.  [</w:t>
      </w:r>
      <w:r w:rsidR="00BC0372">
        <w:rPr>
          <w:sz w:val="28"/>
          <w:szCs w:val="28"/>
        </w:rPr>
        <w:t>R. 1</w:t>
      </w:r>
      <w:r w:rsidR="00C80D88">
        <w:rPr>
          <w:sz w:val="28"/>
          <w:szCs w:val="28"/>
        </w:rPr>
        <w:t xml:space="preserve">].  Notably for purposes of this appeal, no copy of the note was attached to the complaint and no mention was made that AHMSI was prosecuting this action on behalf of anyone but itself.  </w:t>
      </w:r>
      <w:r w:rsidR="0094746E">
        <w:rPr>
          <w:sz w:val="28"/>
          <w:szCs w:val="28"/>
        </w:rPr>
        <w:tab/>
      </w:r>
    </w:p>
    <w:p w:rsidR="0094746E" w:rsidRDefault="00BC0372" w:rsidP="00642B37">
      <w:pPr>
        <w:spacing w:line="480" w:lineRule="auto"/>
        <w:jc w:val="both"/>
        <w:rPr>
          <w:sz w:val="28"/>
          <w:szCs w:val="28"/>
        </w:rPr>
      </w:pPr>
      <w:r>
        <w:rPr>
          <w:sz w:val="28"/>
          <w:szCs w:val="28"/>
        </w:rPr>
        <w:tab/>
      </w:r>
      <w:r w:rsidR="00C80060">
        <w:rPr>
          <w:sz w:val="28"/>
          <w:szCs w:val="28"/>
        </w:rPr>
        <w:t>Also r</w:t>
      </w:r>
      <w:r w:rsidR="0094746E">
        <w:rPr>
          <w:sz w:val="28"/>
          <w:szCs w:val="28"/>
        </w:rPr>
        <w:t xml:space="preserve">elevant </w:t>
      </w:r>
      <w:r w:rsidR="00C80060">
        <w:rPr>
          <w:sz w:val="28"/>
          <w:szCs w:val="28"/>
        </w:rPr>
        <w:t>to</w:t>
      </w:r>
      <w:r w:rsidR="0094746E">
        <w:rPr>
          <w:sz w:val="28"/>
          <w:szCs w:val="28"/>
        </w:rPr>
        <w:t xml:space="preserve"> the issues presented in this appeal, </w:t>
      </w:r>
      <w:r w:rsidR="0094746E" w:rsidRPr="00C80060">
        <w:rPr>
          <w:sz w:val="28"/>
          <w:szCs w:val="28"/>
        </w:rPr>
        <w:t>AHMSI</w:t>
      </w:r>
      <w:r w:rsidR="0094746E">
        <w:rPr>
          <w:sz w:val="28"/>
          <w:szCs w:val="28"/>
        </w:rPr>
        <w:t xml:space="preserve"> filed an assignment which professed to transfer the mortgage from the original lender to </w:t>
      </w:r>
      <w:r w:rsidR="00C80060">
        <w:rPr>
          <w:sz w:val="28"/>
          <w:szCs w:val="28"/>
        </w:rPr>
        <w:t>it</w:t>
      </w:r>
      <w:r w:rsidR="0094746E">
        <w:rPr>
          <w:sz w:val="28"/>
          <w:szCs w:val="28"/>
        </w:rPr>
        <w:t>.  [</w:t>
      </w:r>
      <w:r w:rsidR="003D0D3E">
        <w:rPr>
          <w:sz w:val="28"/>
          <w:szCs w:val="28"/>
        </w:rPr>
        <w:t>R. 579-580</w:t>
      </w:r>
      <w:r w:rsidR="0094746E">
        <w:rPr>
          <w:sz w:val="28"/>
          <w:szCs w:val="28"/>
        </w:rPr>
        <w:t>].  However, the assignment “post-dated” the lawsuit in that the date of the assignment clearly occurred after AHMSI filed its initial complaint.</w:t>
      </w:r>
    </w:p>
    <w:p w:rsidR="00C80D88" w:rsidRDefault="00C80D88" w:rsidP="00642B37">
      <w:pPr>
        <w:spacing w:line="480" w:lineRule="auto"/>
        <w:jc w:val="both"/>
        <w:rPr>
          <w:sz w:val="28"/>
          <w:szCs w:val="28"/>
        </w:rPr>
      </w:pPr>
      <w:r>
        <w:rPr>
          <w:sz w:val="28"/>
          <w:szCs w:val="28"/>
        </w:rPr>
        <w:lastRenderedPageBreak/>
        <w:tab/>
      </w:r>
      <w:r w:rsidRPr="00C80060">
        <w:rPr>
          <w:sz w:val="28"/>
          <w:szCs w:val="28"/>
        </w:rPr>
        <w:t>AHMSI</w:t>
      </w:r>
      <w:r>
        <w:rPr>
          <w:sz w:val="28"/>
          <w:szCs w:val="28"/>
        </w:rPr>
        <w:t xml:space="preserve"> </w:t>
      </w:r>
      <w:r w:rsidR="0094746E">
        <w:rPr>
          <w:sz w:val="28"/>
          <w:szCs w:val="28"/>
        </w:rPr>
        <w:t>also</w:t>
      </w:r>
      <w:r>
        <w:rPr>
          <w:sz w:val="28"/>
          <w:szCs w:val="28"/>
        </w:rPr>
        <w:t xml:space="preserve"> filed an amended complaint which deleted the “lost note” count and included what it alleged was a copy of the original promissory note.  [</w:t>
      </w:r>
      <w:r w:rsidR="003D0D3E">
        <w:rPr>
          <w:sz w:val="28"/>
          <w:szCs w:val="28"/>
        </w:rPr>
        <w:t>R. 39-68</w:t>
      </w:r>
      <w:r>
        <w:rPr>
          <w:sz w:val="28"/>
          <w:szCs w:val="28"/>
        </w:rPr>
        <w:t>].  The copy of the note attached to this pleading contained a “blank endorsement</w:t>
      </w:r>
      <w:r w:rsidR="003D0D3E">
        <w:rPr>
          <w:sz w:val="28"/>
          <w:szCs w:val="28"/>
        </w:rPr>
        <w:t>.</w:t>
      </w:r>
      <w:r>
        <w:rPr>
          <w:sz w:val="28"/>
          <w:szCs w:val="28"/>
        </w:rPr>
        <w:t>” [</w:t>
      </w:r>
      <w:r w:rsidR="003D0D3E">
        <w:rPr>
          <w:sz w:val="28"/>
          <w:szCs w:val="28"/>
        </w:rPr>
        <w:t>R. 38</w:t>
      </w:r>
      <w:r>
        <w:rPr>
          <w:sz w:val="28"/>
          <w:szCs w:val="28"/>
        </w:rPr>
        <w:t>].  As a result, this complaint was materially different than the original complaint in that it was the first pleading where the “bl</w:t>
      </w:r>
      <w:r w:rsidR="003D0D3E">
        <w:rPr>
          <w:sz w:val="28"/>
          <w:szCs w:val="28"/>
        </w:rPr>
        <w:t xml:space="preserve">ankly endorsed” note appeared.  </w:t>
      </w:r>
      <w:r w:rsidR="001C5222">
        <w:rPr>
          <w:sz w:val="28"/>
          <w:szCs w:val="28"/>
        </w:rPr>
        <w:t xml:space="preserve">The pleading, </w:t>
      </w:r>
      <w:r w:rsidR="003D0D3E">
        <w:rPr>
          <w:sz w:val="28"/>
          <w:szCs w:val="28"/>
        </w:rPr>
        <w:t xml:space="preserve">however, failed to identify who </w:t>
      </w:r>
      <w:r w:rsidR="001C5222">
        <w:rPr>
          <w:sz w:val="28"/>
          <w:szCs w:val="28"/>
        </w:rPr>
        <w:t>AHMSI had brought the action on behalf of or even how it could bring the action on that undisclosed party’s behalf.</w:t>
      </w:r>
    </w:p>
    <w:p w:rsidR="0094746E" w:rsidRDefault="0094746E" w:rsidP="00642B37">
      <w:pPr>
        <w:spacing w:line="480" w:lineRule="auto"/>
        <w:jc w:val="both"/>
        <w:rPr>
          <w:sz w:val="28"/>
          <w:szCs w:val="28"/>
        </w:rPr>
      </w:pPr>
      <w:r>
        <w:rPr>
          <w:sz w:val="28"/>
          <w:szCs w:val="28"/>
        </w:rPr>
        <w:tab/>
        <w:t xml:space="preserve">After filing </w:t>
      </w:r>
      <w:r w:rsidR="003D0D3E">
        <w:rPr>
          <w:sz w:val="28"/>
          <w:szCs w:val="28"/>
        </w:rPr>
        <w:t>the amended complaint</w:t>
      </w:r>
      <w:r>
        <w:rPr>
          <w:sz w:val="28"/>
          <w:szCs w:val="28"/>
        </w:rPr>
        <w:t>, AHMSI thereafter sought to substitute RCS as par</w:t>
      </w:r>
      <w:r w:rsidR="00BC0372">
        <w:rPr>
          <w:sz w:val="28"/>
          <w:szCs w:val="28"/>
        </w:rPr>
        <w:t>ty-plaintiff claiming that there had been a “transfer of interest</w:t>
      </w:r>
      <w:r>
        <w:rPr>
          <w:sz w:val="28"/>
          <w:szCs w:val="28"/>
        </w:rPr>
        <w:t>.”  [</w:t>
      </w:r>
      <w:r w:rsidR="003D0D3E">
        <w:rPr>
          <w:sz w:val="28"/>
          <w:szCs w:val="28"/>
        </w:rPr>
        <w:t>R. 165-168</w:t>
      </w:r>
      <w:r>
        <w:rPr>
          <w:sz w:val="28"/>
          <w:szCs w:val="28"/>
        </w:rPr>
        <w:t xml:space="preserve">].  </w:t>
      </w:r>
      <w:r w:rsidR="003D0D3E">
        <w:rPr>
          <w:sz w:val="28"/>
          <w:szCs w:val="28"/>
        </w:rPr>
        <w:t xml:space="preserve">Like AHMSI’s initial and amended complaints, however, this motion failed to identify on whose behalf RCS was prosecuting the action for, or how RCS obtained the ability to prosecute the action.  </w:t>
      </w:r>
      <w:r>
        <w:rPr>
          <w:sz w:val="28"/>
          <w:szCs w:val="28"/>
        </w:rPr>
        <w:t>Th</w:t>
      </w:r>
      <w:r w:rsidR="003D0D3E">
        <w:rPr>
          <w:sz w:val="28"/>
          <w:szCs w:val="28"/>
        </w:rPr>
        <w:t>e</w:t>
      </w:r>
      <w:r>
        <w:rPr>
          <w:sz w:val="28"/>
          <w:szCs w:val="28"/>
        </w:rPr>
        <w:t xml:space="preserve"> motion was granted by the trial court.  [</w:t>
      </w:r>
      <w:r w:rsidR="00C80060">
        <w:rPr>
          <w:sz w:val="28"/>
          <w:szCs w:val="28"/>
        </w:rPr>
        <w:t>R. 169-170</w:t>
      </w:r>
      <w:r>
        <w:rPr>
          <w:sz w:val="28"/>
          <w:szCs w:val="28"/>
        </w:rPr>
        <w:t>].</w:t>
      </w:r>
    </w:p>
    <w:p w:rsidR="0094746E" w:rsidRDefault="00C80D88" w:rsidP="00642B37">
      <w:pPr>
        <w:spacing w:line="480" w:lineRule="auto"/>
        <w:jc w:val="both"/>
        <w:rPr>
          <w:sz w:val="28"/>
          <w:szCs w:val="28"/>
        </w:rPr>
      </w:pPr>
      <w:r>
        <w:rPr>
          <w:sz w:val="28"/>
          <w:szCs w:val="28"/>
        </w:rPr>
        <w:tab/>
      </w:r>
      <w:r w:rsidR="001C5222">
        <w:rPr>
          <w:sz w:val="28"/>
          <w:szCs w:val="28"/>
        </w:rPr>
        <w:t xml:space="preserve">Homeowners’ second amended answer raised the following affirmative defenses which are </w:t>
      </w:r>
      <w:r w:rsidR="00744A0B">
        <w:rPr>
          <w:sz w:val="28"/>
          <w:szCs w:val="28"/>
        </w:rPr>
        <w:t>germane</w:t>
      </w:r>
      <w:r w:rsidR="001C5222">
        <w:rPr>
          <w:sz w:val="28"/>
          <w:szCs w:val="28"/>
        </w:rPr>
        <w:t xml:space="preserve"> on appeal: (1) that RCS lacked standing to sue, [</w:t>
      </w:r>
      <w:r w:rsidR="00075659">
        <w:rPr>
          <w:sz w:val="28"/>
          <w:szCs w:val="28"/>
        </w:rPr>
        <w:t>R. 239</w:t>
      </w:r>
      <w:r w:rsidR="001C5222">
        <w:rPr>
          <w:sz w:val="28"/>
          <w:szCs w:val="28"/>
        </w:rPr>
        <w:t>]; (2) that RCS was not authorized to sue in another party’s name, [</w:t>
      </w:r>
      <w:r w:rsidR="00075659">
        <w:rPr>
          <w:sz w:val="28"/>
          <w:szCs w:val="28"/>
        </w:rPr>
        <w:t>R. 239-240</w:t>
      </w:r>
      <w:r w:rsidR="001C5222">
        <w:rPr>
          <w:sz w:val="28"/>
          <w:szCs w:val="28"/>
        </w:rPr>
        <w:t>]; and (3) that the promissory note was not negotiable, [</w:t>
      </w:r>
      <w:r w:rsidR="00075659">
        <w:rPr>
          <w:sz w:val="28"/>
          <w:szCs w:val="28"/>
        </w:rPr>
        <w:t>R. 238-239</w:t>
      </w:r>
      <w:r w:rsidR="001C5222">
        <w:rPr>
          <w:sz w:val="28"/>
          <w:szCs w:val="28"/>
        </w:rPr>
        <w:t>].</w:t>
      </w:r>
      <w:r w:rsidR="0094746E">
        <w:rPr>
          <w:sz w:val="28"/>
          <w:szCs w:val="28"/>
        </w:rPr>
        <w:t xml:space="preserve">  The matter was thereafter set for trial.  [</w:t>
      </w:r>
      <w:r w:rsidR="00075659">
        <w:rPr>
          <w:sz w:val="28"/>
          <w:szCs w:val="28"/>
        </w:rPr>
        <w:t>R. 289-290</w:t>
      </w:r>
      <w:r w:rsidR="0094746E">
        <w:rPr>
          <w:sz w:val="28"/>
          <w:szCs w:val="28"/>
        </w:rPr>
        <w:t>].</w:t>
      </w:r>
    </w:p>
    <w:p w:rsidR="00075659" w:rsidRDefault="0094746E" w:rsidP="00642B37">
      <w:pPr>
        <w:spacing w:line="480" w:lineRule="auto"/>
        <w:jc w:val="both"/>
        <w:rPr>
          <w:sz w:val="28"/>
          <w:szCs w:val="28"/>
        </w:rPr>
      </w:pPr>
      <w:r>
        <w:rPr>
          <w:sz w:val="28"/>
          <w:szCs w:val="28"/>
        </w:rPr>
        <w:lastRenderedPageBreak/>
        <w:tab/>
        <w:t>At the trial, RCS presented the testimony of its corporate representative and the corporate representative of AHMSI.  The AHMSI witness admitted that it had brought this action on behalf of another entity by claiming to be the “servicer” of the promissory note and mortgage</w:t>
      </w:r>
      <w:r w:rsidR="00075659">
        <w:rPr>
          <w:sz w:val="28"/>
          <w:szCs w:val="28"/>
        </w:rPr>
        <w:t xml:space="preserve"> by offering the following testimony:</w:t>
      </w:r>
    </w:p>
    <w:p w:rsidR="00075659" w:rsidRDefault="00075659" w:rsidP="000D74B2">
      <w:pPr>
        <w:spacing w:line="240" w:lineRule="auto"/>
        <w:ind w:left="720" w:right="720"/>
        <w:jc w:val="both"/>
        <w:rPr>
          <w:sz w:val="28"/>
          <w:szCs w:val="28"/>
        </w:rPr>
      </w:pPr>
      <w:r w:rsidRPr="00075659">
        <w:rPr>
          <w:sz w:val="28"/>
          <w:szCs w:val="28"/>
        </w:rPr>
        <w:t>Q. (By Mr. Gache) So Ms. Ibarra, the loan</w:t>
      </w:r>
      <w:r>
        <w:rPr>
          <w:sz w:val="28"/>
          <w:szCs w:val="28"/>
        </w:rPr>
        <w:t xml:space="preserve"> </w:t>
      </w:r>
      <w:r w:rsidRPr="00075659">
        <w:rPr>
          <w:sz w:val="28"/>
          <w:szCs w:val="28"/>
        </w:rPr>
        <w:t>which is the subject of this lawsuit which is a</w:t>
      </w:r>
      <w:r>
        <w:rPr>
          <w:sz w:val="28"/>
          <w:szCs w:val="28"/>
        </w:rPr>
        <w:t xml:space="preserve"> </w:t>
      </w:r>
      <w:r w:rsidRPr="00075659">
        <w:rPr>
          <w:sz w:val="28"/>
          <w:szCs w:val="28"/>
        </w:rPr>
        <w:t>loan made to Ernest C. Hassell and Teri</w:t>
      </w:r>
      <w:r>
        <w:rPr>
          <w:sz w:val="28"/>
          <w:szCs w:val="28"/>
        </w:rPr>
        <w:t xml:space="preserve"> </w:t>
      </w:r>
      <w:r w:rsidRPr="00075659">
        <w:rPr>
          <w:sz w:val="28"/>
          <w:szCs w:val="28"/>
        </w:rPr>
        <w:t xml:space="preserve">Dittrich-Hassell, do you know </w:t>
      </w:r>
      <w:r w:rsidRPr="00075659">
        <w:rPr>
          <w:b/>
          <w:sz w:val="28"/>
          <w:szCs w:val="28"/>
        </w:rPr>
        <w:t xml:space="preserve">whether AHMSI at one point in time was the loan </w:t>
      </w:r>
      <w:r w:rsidRPr="00075659">
        <w:rPr>
          <w:b/>
          <w:i/>
          <w:sz w:val="28"/>
          <w:szCs w:val="28"/>
        </w:rPr>
        <w:t>servicer</w:t>
      </w:r>
      <w:r w:rsidRPr="00075659">
        <w:rPr>
          <w:sz w:val="28"/>
          <w:szCs w:val="28"/>
        </w:rPr>
        <w:t xml:space="preserve"> for this</w:t>
      </w:r>
      <w:r>
        <w:rPr>
          <w:sz w:val="28"/>
          <w:szCs w:val="28"/>
        </w:rPr>
        <w:t xml:space="preserve"> </w:t>
      </w:r>
      <w:r w:rsidRPr="00075659">
        <w:rPr>
          <w:sz w:val="28"/>
          <w:szCs w:val="28"/>
        </w:rPr>
        <w:t>particular loan?</w:t>
      </w:r>
    </w:p>
    <w:p w:rsidR="000D74B2" w:rsidRPr="00075659" w:rsidRDefault="000D74B2" w:rsidP="000D74B2">
      <w:pPr>
        <w:spacing w:line="240" w:lineRule="auto"/>
        <w:ind w:left="720" w:right="720"/>
        <w:jc w:val="both"/>
        <w:rPr>
          <w:sz w:val="28"/>
          <w:szCs w:val="28"/>
        </w:rPr>
      </w:pPr>
    </w:p>
    <w:p w:rsidR="000D74B2" w:rsidRDefault="00075659" w:rsidP="000D74B2">
      <w:pPr>
        <w:spacing w:line="240" w:lineRule="auto"/>
        <w:ind w:left="720" w:right="720"/>
        <w:jc w:val="both"/>
        <w:rPr>
          <w:sz w:val="28"/>
          <w:szCs w:val="28"/>
        </w:rPr>
      </w:pPr>
      <w:r w:rsidRPr="00075659">
        <w:rPr>
          <w:sz w:val="28"/>
          <w:szCs w:val="28"/>
        </w:rPr>
        <w:t>A. Yes.</w:t>
      </w:r>
    </w:p>
    <w:p w:rsidR="00075659" w:rsidRDefault="0094746E" w:rsidP="000D74B2">
      <w:pPr>
        <w:spacing w:line="240" w:lineRule="auto"/>
        <w:ind w:left="720" w:right="720"/>
        <w:jc w:val="both"/>
        <w:rPr>
          <w:sz w:val="28"/>
          <w:szCs w:val="28"/>
        </w:rPr>
      </w:pPr>
      <w:r>
        <w:rPr>
          <w:sz w:val="28"/>
          <w:szCs w:val="28"/>
        </w:rPr>
        <w:t xml:space="preserve">  </w:t>
      </w:r>
    </w:p>
    <w:p w:rsidR="00075659" w:rsidRDefault="0094746E" w:rsidP="00075659">
      <w:pPr>
        <w:spacing w:line="480" w:lineRule="auto"/>
        <w:jc w:val="both"/>
        <w:rPr>
          <w:sz w:val="28"/>
          <w:szCs w:val="28"/>
        </w:rPr>
      </w:pPr>
      <w:r>
        <w:rPr>
          <w:sz w:val="28"/>
          <w:szCs w:val="28"/>
        </w:rPr>
        <w:t>[</w:t>
      </w:r>
      <w:r w:rsidR="00075659">
        <w:rPr>
          <w:sz w:val="28"/>
          <w:szCs w:val="28"/>
        </w:rPr>
        <w:t>T. 32</w:t>
      </w:r>
      <w:r>
        <w:rPr>
          <w:sz w:val="28"/>
          <w:szCs w:val="28"/>
        </w:rPr>
        <w:t>].</w:t>
      </w:r>
      <w:r w:rsidR="000D74B2">
        <w:rPr>
          <w:sz w:val="28"/>
          <w:szCs w:val="28"/>
        </w:rPr>
        <w:t xml:space="preserve">  (Bold emphasis added).</w:t>
      </w:r>
      <w:r w:rsidR="00744A0B">
        <w:rPr>
          <w:rStyle w:val="FootnoteReference"/>
          <w:sz w:val="28"/>
          <w:szCs w:val="28"/>
        </w:rPr>
        <w:footnoteReference w:id="2"/>
      </w:r>
      <w:r w:rsidR="009E0641">
        <w:rPr>
          <w:sz w:val="28"/>
          <w:szCs w:val="28"/>
        </w:rPr>
        <w:t xml:space="preserve">  </w:t>
      </w:r>
    </w:p>
    <w:p w:rsidR="009E0641" w:rsidRDefault="000D74B2" w:rsidP="00075659">
      <w:pPr>
        <w:spacing w:line="480" w:lineRule="auto"/>
        <w:jc w:val="both"/>
        <w:rPr>
          <w:sz w:val="28"/>
          <w:szCs w:val="28"/>
        </w:rPr>
      </w:pPr>
      <w:r>
        <w:rPr>
          <w:sz w:val="28"/>
          <w:szCs w:val="28"/>
        </w:rPr>
        <w:tab/>
      </w:r>
      <w:r w:rsidR="009E0641">
        <w:rPr>
          <w:sz w:val="28"/>
          <w:szCs w:val="28"/>
        </w:rPr>
        <w:t xml:space="preserve">The witness also testified that the “servicing” of the debt was transferred from AHMSI to </w:t>
      </w:r>
      <w:r>
        <w:rPr>
          <w:sz w:val="28"/>
          <w:szCs w:val="28"/>
        </w:rPr>
        <w:t>another “servicer” (presumably RCS)</w:t>
      </w:r>
      <w:r w:rsidR="009E0641">
        <w:rPr>
          <w:sz w:val="28"/>
          <w:szCs w:val="28"/>
        </w:rPr>
        <w:t xml:space="preserve"> sometime after the inception of the action.  [</w:t>
      </w:r>
      <w:r>
        <w:rPr>
          <w:sz w:val="28"/>
          <w:szCs w:val="28"/>
        </w:rPr>
        <w:t>T. 33</w:t>
      </w:r>
      <w:r w:rsidR="009E0641">
        <w:rPr>
          <w:sz w:val="28"/>
          <w:szCs w:val="28"/>
        </w:rPr>
        <w:t xml:space="preserve">].  At no time during the trial did RCS present any testimony or evidence that the undisclosed party which AHMSI and RCS were “servicing” the mortgage and note for had authorized either party to bring the action in the undisclosed principal’s name.  In fact, under cross-examination, the AHMSI witness testified that it had been servicing the mortgage pursuant to some written contract that </w:t>
      </w:r>
      <w:r w:rsidR="009E0641" w:rsidRPr="000D74B2">
        <w:rPr>
          <w:b/>
          <w:sz w:val="28"/>
          <w:szCs w:val="28"/>
        </w:rPr>
        <w:t>the witness had not even read</w:t>
      </w:r>
      <w:r w:rsidR="009E0641">
        <w:rPr>
          <w:sz w:val="28"/>
          <w:szCs w:val="28"/>
        </w:rPr>
        <w:t>.  [</w:t>
      </w:r>
      <w:r>
        <w:rPr>
          <w:sz w:val="28"/>
          <w:szCs w:val="28"/>
        </w:rPr>
        <w:t>T. 63</w:t>
      </w:r>
      <w:r w:rsidR="009E0641">
        <w:rPr>
          <w:sz w:val="28"/>
          <w:szCs w:val="28"/>
        </w:rPr>
        <w:t>].</w:t>
      </w:r>
    </w:p>
    <w:p w:rsidR="009E0641" w:rsidRDefault="009E0641" w:rsidP="00642B37">
      <w:pPr>
        <w:spacing w:line="480" w:lineRule="auto"/>
        <w:jc w:val="both"/>
        <w:rPr>
          <w:sz w:val="28"/>
          <w:szCs w:val="28"/>
        </w:rPr>
      </w:pPr>
      <w:r>
        <w:rPr>
          <w:sz w:val="28"/>
          <w:szCs w:val="28"/>
        </w:rPr>
        <w:tab/>
        <w:t xml:space="preserve">RCS’s counsel attempted to procure testimony from the AHMSI witness whether AHMSI was in possession of the original note endorsed in blank in July, </w:t>
      </w:r>
      <w:r>
        <w:rPr>
          <w:sz w:val="28"/>
          <w:szCs w:val="28"/>
        </w:rPr>
        <w:lastRenderedPageBreak/>
        <w:t>2008.  [</w:t>
      </w:r>
      <w:r w:rsidR="000D74B2">
        <w:rPr>
          <w:sz w:val="28"/>
          <w:szCs w:val="28"/>
        </w:rPr>
        <w:t>T. 34</w:t>
      </w:r>
      <w:r>
        <w:rPr>
          <w:sz w:val="28"/>
          <w:szCs w:val="28"/>
        </w:rPr>
        <w:t>].  Homeowners’ counsel objected that the witness lacked the requisite foundation to testify.  [</w:t>
      </w:r>
      <w:r w:rsidR="000D74B2">
        <w:rPr>
          <w:sz w:val="28"/>
          <w:szCs w:val="28"/>
        </w:rPr>
        <w:t>T. 34</w:t>
      </w:r>
      <w:r>
        <w:rPr>
          <w:sz w:val="28"/>
          <w:szCs w:val="28"/>
        </w:rPr>
        <w:t>].  After inquiry by the trial court, the witness testified that her testimony regarding when AHMSI was allegedly in possession of the original note was entirely based upon a review of her “business records” which had not yet been entered into evidence.  [</w:t>
      </w:r>
      <w:r w:rsidR="000D74B2">
        <w:rPr>
          <w:sz w:val="28"/>
          <w:szCs w:val="28"/>
        </w:rPr>
        <w:t xml:space="preserve">T. 34].  </w:t>
      </w:r>
      <w:r>
        <w:rPr>
          <w:sz w:val="28"/>
          <w:szCs w:val="28"/>
        </w:rPr>
        <w:t>Homeowners thereafter objected to the testimony on the grounds that the “business record”</w:t>
      </w:r>
      <w:r w:rsidR="00744A0B">
        <w:rPr>
          <w:sz w:val="28"/>
          <w:szCs w:val="28"/>
        </w:rPr>
        <w:t xml:space="preserve"> referred to by the witness</w:t>
      </w:r>
      <w:r>
        <w:rPr>
          <w:sz w:val="28"/>
          <w:szCs w:val="28"/>
        </w:rPr>
        <w:t xml:space="preserve"> had not been entered into evidence.  [</w:t>
      </w:r>
      <w:r w:rsidR="000D74B2">
        <w:rPr>
          <w:sz w:val="28"/>
          <w:szCs w:val="28"/>
        </w:rPr>
        <w:t>T. 34-35</w:t>
      </w:r>
      <w:r>
        <w:rPr>
          <w:sz w:val="28"/>
          <w:szCs w:val="28"/>
        </w:rPr>
        <w:t>].  The trial court overruled this objection and allowed the witness to testify that AHMSI was in possession of the original promissory note endorsed in blank on July, 2008.</w:t>
      </w:r>
      <w:r w:rsidR="0033052D">
        <w:rPr>
          <w:sz w:val="28"/>
          <w:szCs w:val="28"/>
        </w:rPr>
        <w:t xml:space="preserve">  [T. 35].</w:t>
      </w:r>
    </w:p>
    <w:p w:rsidR="009E0641" w:rsidRDefault="009E0641" w:rsidP="00642B37">
      <w:pPr>
        <w:spacing w:line="480" w:lineRule="auto"/>
        <w:jc w:val="both"/>
        <w:rPr>
          <w:sz w:val="28"/>
          <w:szCs w:val="28"/>
        </w:rPr>
      </w:pPr>
      <w:r>
        <w:rPr>
          <w:sz w:val="28"/>
          <w:szCs w:val="28"/>
        </w:rPr>
        <w:tab/>
        <w:t>Later, Homeowners attempted to introduce into evidence a certified copy of the assignment.  [</w:t>
      </w:r>
      <w:r w:rsidR="0033052D">
        <w:rPr>
          <w:sz w:val="28"/>
          <w:szCs w:val="28"/>
        </w:rPr>
        <w:t>T. 133-134; R. 579-580</w:t>
      </w:r>
      <w:r>
        <w:rPr>
          <w:sz w:val="28"/>
          <w:szCs w:val="28"/>
        </w:rPr>
        <w:t xml:space="preserve">].  </w:t>
      </w:r>
      <w:r w:rsidR="0033052D">
        <w:rPr>
          <w:sz w:val="28"/>
          <w:szCs w:val="28"/>
        </w:rPr>
        <w:t xml:space="preserve">Homeowners argued that the assignment tended to show that RCS’s predecessor AHMSI did not have standing at the inception of the action.  [T. 135].  </w:t>
      </w:r>
      <w:r>
        <w:rPr>
          <w:sz w:val="28"/>
          <w:szCs w:val="28"/>
        </w:rPr>
        <w:t xml:space="preserve">RCS objected on relevancy grounds, </w:t>
      </w:r>
      <w:r w:rsidR="00027782">
        <w:rPr>
          <w:sz w:val="28"/>
          <w:szCs w:val="28"/>
        </w:rPr>
        <w:t xml:space="preserve">arguing </w:t>
      </w:r>
      <w:r>
        <w:rPr>
          <w:sz w:val="28"/>
          <w:szCs w:val="28"/>
        </w:rPr>
        <w:t xml:space="preserve">that the assignment was irrelevant to when </w:t>
      </w:r>
      <w:r w:rsidR="00027782">
        <w:rPr>
          <w:sz w:val="28"/>
          <w:szCs w:val="28"/>
        </w:rPr>
        <w:t>AHMSI gained possession of the note.  [</w:t>
      </w:r>
      <w:r w:rsidR="0033052D">
        <w:rPr>
          <w:sz w:val="28"/>
          <w:szCs w:val="28"/>
        </w:rPr>
        <w:t>T. 135</w:t>
      </w:r>
      <w:r w:rsidR="00027782">
        <w:rPr>
          <w:sz w:val="28"/>
          <w:szCs w:val="28"/>
        </w:rPr>
        <w:t>].    The trial court sustained RCS’s objection and ruled that the assignment was inadmissible on relevancy grounds.  [</w:t>
      </w:r>
      <w:r w:rsidR="0033052D">
        <w:rPr>
          <w:sz w:val="28"/>
          <w:szCs w:val="28"/>
        </w:rPr>
        <w:t>T. 135-136</w:t>
      </w:r>
      <w:r w:rsidR="00027782">
        <w:rPr>
          <w:sz w:val="28"/>
          <w:szCs w:val="28"/>
        </w:rPr>
        <w:t>].</w:t>
      </w:r>
    </w:p>
    <w:p w:rsidR="00027782" w:rsidRPr="00642B37" w:rsidRDefault="00027782" w:rsidP="00642B37">
      <w:pPr>
        <w:spacing w:line="480" w:lineRule="auto"/>
        <w:jc w:val="both"/>
        <w:rPr>
          <w:sz w:val="28"/>
          <w:szCs w:val="28"/>
        </w:rPr>
      </w:pPr>
      <w:r>
        <w:rPr>
          <w:sz w:val="28"/>
          <w:szCs w:val="28"/>
        </w:rPr>
        <w:tab/>
        <w:t>At the close of evidence, and without any testimony or evidence that RCS’s undisclosed principal that it had authorized AHMSI or RSC to sue in its name, the trial court entered a final judgment in favor of RCS.  [</w:t>
      </w:r>
      <w:r w:rsidR="0033052D">
        <w:rPr>
          <w:sz w:val="28"/>
          <w:szCs w:val="28"/>
        </w:rPr>
        <w:t xml:space="preserve">T. 175; R. </w:t>
      </w:r>
      <w:r w:rsidR="00535CE3">
        <w:rPr>
          <w:sz w:val="28"/>
          <w:szCs w:val="28"/>
        </w:rPr>
        <w:t>574-578</w:t>
      </w:r>
      <w:r>
        <w:rPr>
          <w:sz w:val="28"/>
          <w:szCs w:val="28"/>
        </w:rPr>
        <w:t>].  This appeal follows.</w:t>
      </w:r>
    </w:p>
    <w:p w:rsidR="00966E5A" w:rsidRDefault="00966E5A" w:rsidP="002104E6">
      <w:pPr>
        <w:spacing w:line="480" w:lineRule="auto"/>
        <w:jc w:val="center"/>
        <w:rPr>
          <w:b/>
          <w:sz w:val="28"/>
          <w:szCs w:val="28"/>
        </w:rPr>
      </w:pPr>
      <w:r>
        <w:rPr>
          <w:b/>
          <w:sz w:val="28"/>
          <w:szCs w:val="28"/>
        </w:rPr>
        <w:lastRenderedPageBreak/>
        <w:t>STANDARD OF REVIEW</w:t>
      </w:r>
    </w:p>
    <w:p w:rsidR="00966E5A" w:rsidRPr="004F1693" w:rsidRDefault="00966E5A" w:rsidP="00966E5A">
      <w:pPr>
        <w:spacing w:line="480" w:lineRule="auto"/>
        <w:jc w:val="both"/>
        <w:rPr>
          <w:sz w:val="28"/>
          <w:szCs w:val="28"/>
        </w:rPr>
      </w:pPr>
      <w:r>
        <w:tab/>
      </w:r>
      <w:r w:rsidRPr="004F1693">
        <w:rPr>
          <w:sz w:val="28"/>
          <w:szCs w:val="28"/>
        </w:rPr>
        <w:t xml:space="preserve">“Whether a party is the proper party with standing to bring an action is a question of law to be reviewed </w:t>
      </w:r>
      <w:r w:rsidRPr="004F1693">
        <w:rPr>
          <w:i/>
          <w:iCs/>
          <w:sz w:val="28"/>
          <w:szCs w:val="28"/>
        </w:rPr>
        <w:t>de novo</w:t>
      </w:r>
      <w:r w:rsidRPr="004F1693">
        <w:rPr>
          <w:sz w:val="28"/>
          <w:szCs w:val="28"/>
        </w:rPr>
        <w:t xml:space="preserve">.”  </w:t>
      </w:r>
      <w:r w:rsidRPr="004F1693">
        <w:rPr>
          <w:i/>
          <w:iCs/>
          <w:sz w:val="28"/>
          <w:szCs w:val="28"/>
        </w:rPr>
        <w:t>FCD Dev., LLC v. S. Fla. Sports Comm., Inc.</w:t>
      </w:r>
      <w:r w:rsidRPr="004F1693">
        <w:rPr>
          <w:sz w:val="28"/>
          <w:szCs w:val="28"/>
        </w:rPr>
        <w:t>, 37 So. 3d 905, 909 (Fla. 4th DCA 2010) (quoting</w:t>
      </w:r>
      <w:r w:rsidRPr="004F1693">
        <w:rPr>
          <w:i/>
          <w:iCs/>
          <w:sz w:val="28"/>
          <w:szCs w:val="28"/>
        </w:rPr>
        <w:t xml:space="preserve"> Westport Recovery Corp. v. Midas,</w:t>
      </w:r>
      <w:r w:rsidRPr="004F1693">
        <w:rPr>
          <w:sz w:val="28"/>
          <w:szCs w:val="28"/>
        </w:rPr>
        <w:t xml:space="preserve"> 954 So. 2d 750, 752 (Fla. 4th DCA 2007)).</w:t>
      </w:r>
      <w:r w:rsidR="004F1693" w:rsidRPr="004F1693">
        <w:rPr>
          <w:sz w:val="28"/>
          <w:szCs w:val="28"/>
        </w:rPr>
        <w:t xml:space="preserve">  However, “a trial judge’s ruling on the admissibility of evidence will not be disturbed absent an abuse of discretion.</w:t>
      </w:r>
      <w:r w:rsidR="004F1693">
        <w:rPr>
          <w:sz w:val="28"/>
          <w:szCs w:val="28"/>
        </w:rPr>
        <w:t xml:space="preserve">”  </w:t>
      </w:r>
      <w:r w:rsidR="004F1693">
        <w:rPr>
          <w:i/>
          <w:sz w:val="28"/>
          <w:szCs w:val="28"/>
        </w:rPr>
        <w:t>Carpenter v. State</w:t>
      </w:r>
      <w:r w:rsidR="004F1693">
        <w:rPr>
          <w:sz w:val="28"/>
          <w:szCs w:val="28"/>
        </w:rPr>
        <w:t>, 785 So. 2d 1182, 1201 (Fla. 2001).</w:t>
      </w:r>
    </w:p>
    <w:p w:rsidR="00966E5A" w:rsidRDefault="00966E5A" w:rsidP="002104E6">
      <w:pPr>
        <w:spacing w:line="480" w:lineRule="auto"/>
        <w:jc w:val="center"/>
        <w:rPr>
          <w:b/>
          <w:sz w:val="28"/>
          <w:szCs w:val="28"/>
        </w:rPr>
      </w:pPr>
      <w:r>
        <w:rPr>
          <w:b/>
          <w:sz w:val="28"/>
          <w:szCs w:val="28"/>
        </w:rPr>
        <w:t>SUMMARY OF ARGUMENT</w:t>
      </w:r>
    </w:p>
    <w:p w:rsidR="00B41F95" w:rsidRDefault="00B41F95" w:rsidP="00B41F95">
      <w:pPr>
        <w:spacing w:line="480" w:lineRule="auto"/>
        <w:jc w:val="both"/>
        <w:rPr>
          <w:sz w:val="28"/>
          <w:szCs w:val="28"/>
        </w:rPr>
      </w:pPr>
      <w:r>
        <w:rPr>
          <w:sz w:val="28"/>
          <w:szCs w:val="28"/>
        </w:rPr>
        <w:tab/>
      </w:r>
      <w:r w:rsidR="00711B16">
        <w:rPr>
          <w:sz w:val="28"/>
          <w:szCs w:val="28"/>
        </w:rPr>
        <w:t xml:space="preserve">Reversal error was committed by the trial court when it entered a final judgment in favor of RCS without RCS proving it had standing to sue as “servicer” of the note and mortgage.  RCS failed to present any evidence that its undisclosed principal either joined in or ratified its conduct as required by established Florida case law.  Additionally, RCS’s mere possession of the promissory note “endorsed in blank” did not confer standing to sue onto it because the note is non-negotiable </w:t>
      </w:r>
      <w:r w:rsidR="00744A0B">
        <w:rPr>
          <w:sz w:val="28"/>
          <w:szCs w:val="28"/>
        </w:rPr>
        <w:t>since</w:t>
      </w:r>
      <w:r w:rsidR="00711B16">
        <w:rPr>
          <w:sz w:val="28"/>
          <w:szCs w:val="28"/>
        </w:rPr>
        <w:t xml:space="preserve">: (1) </w:t>
      </w:r>
      <w:r w:rsidR="00744A0B">
        <w:rPr>
          <w:sz w:val="28"/>
          <w:szCs w:val="28"/>
        </w:rPr>
        <w:t>the note</w:t>
      </w:r>
      <w:r w:rsidR="00711B16">
        <w:rPr>
          <w:sz w:val="28"/>
          <w:szCs w:val="28"/>
        </w:rPr>
        <w:t xml:space="preserve"> contains instructions and undertakings other than the payment of money; and (2) incorporating the terms of the mortgage into the note under the doctrine of “the mortgage follows the note” destroys any negotiability the note might have.  Additionally, even assuming the promissory note was negotiable, RCS was not the “holder” of the note because the note was constructively delivered to RCS’s undisclosed principal.  </w:t>
      </w:r>
    </w:p>
    <w:p w:rsidR="00711B16" w:rsidRDefault="00711B16" w:rsidP="00B41F95">
      <w:pPr>
        <w:spacing w:line="480" w:lineRule="auto"/>
        <w:jc w:val="both"/>
        <w:rPr>
          <w:sz w:val="28"/>
          <w:szCs w:val="28"/>
        </w:rPr>
      </w:pPr>
      <w:r>
        <w:rPr>
          <w:sz w:val="28"/>
          <w:szCs w:val="28"/>
        </w:rPr>
        <w:lastRenderedPageBreak/>
        <w:tab/>
      </w:r>
      <w:r w:rsidR="00535CE3">
        <w:rPr>
          <w:sz w:val="28"/>
          <w:szCs w:val="28"/>
        </w:rPr>
        <w:t>Moreover, t</w:t>
      </w:r>
      <w:r>
        <w:rPr>
          <w:sz w:val="28"/>
          <w:szCs w:val="28"/>
        </w:rPr>
        <w:t xml:space="preserve">he trial court committed reversal error when it sustained RCS’s objection to </w:t>
      </w:r>
      <w:r w:rsidR="00744A0B">
        <w:rPr>
          <w:sz w:val="28"/>
          <w:szCs w:val="28"/>
        </w:rPr>
        <w:t>the introduction</w:t>
      </w:r>
      <w:r>
        <w:rPr>
          <w:sz w:val="28"/>
          <w:szCs w:val="28"/>
        </w:rPr>
        <w:t xml:space="preserve"> of the assignment.  The assignment was relevant because it tended to disprove a material fact to this action: that RCS’s predecessor, AHMSI, had possession of the note prior to the filing of the lawsuit.  Additionally, the assignment’s probative value greatly outweighed any </w:t>
      </w:r>
      <w:r w:rsidRPr="00711B16">
        <w:rPr>
          <w:sz w:val="28"/>
          <w:szCs w:val="28"/>
        </w:rPr>
        <w:t xml:space="preserve">danger of unfair prejudice, confusion of issues, misleading </w:t>
      </w:r>
      <w:r>
        <w:rPr>
          <w:sz w:val="28"/>
          <w:szCs w:val="28"/>
        </w:rPr>
        <w:t xml:space="preserve">of </w:t>
      </w:r>
      <w:r w:rsidRPr="00711B16">
        <w:rPr>
          <w:sz w:val="28"/>
          <w:szCs w:val="28"/>
        </w:rPr>
        <w:t xml:space="preserve">the </w:t>
      </w:r>
      <w:r>
        <w:rPr>
          <w:sz w:val="28"/>
          <w:szCs w:val="28"/>
        </w:rPr>
        <w:t>fact-finder</w:t>
      </w:r>
      <w:r w:rsidRPr="00711B16">
        <w:rPr>
          <w:sz w:val="28"/>
          <w:szCs w:val="28"/>
        </w:rPr>
        <w:t>, or needless presentation of cumulative evidence</w:t>
      </w:r>
      <w:r>
        <w:rPr>
          <w:sz w:val="28"/>
          <w:szCs w:val="28"/>
        </w:rPr>
        <w:t xml:space="preserve">.  The trial court’s error was also not “harmless” because it is reasonably probable that Homeowners would have </w:t>
      </w:r>
      <w:r w:rsidR="00B614D7">
        <w:rPr>
          <w:sz w:val="28"/>
          <w:szCs w:val="28"/>
        </w:rPr>
        <w:t xml:space="preserve">obtained a more favorable outcome without the error.  </w:t>
      </w:r>
    </w:p>
    <w:p w:rsidR="00B614D7" w:rsidRPr="00B41F95" w:rsidRDefault="00B614D7" w:rsidP="00B41F95">
      <w:pPr>
        <w:spacing w:line="480" w:lineRule="auto"/>
        <w:jc w:val="both"/>
        <w:rPr>
          <w:sz w:val="28"/>
          <w:szCs w:val="28"/>
        </w:rPr>
      </w:pPr>
      <w:r>
        <w:rPr>
          <w:sz w:val="28"/>
          <w:szCs w:val="28"/>
        </w:rPr>
        <w:tab/>
        <w:t xml:space="preserve">Finally, the trial court committed reversal error when it overruled Homeowners’ objection to the AHMSI witness’s testimony regarding </w:t>
      </w:r>
      <w:r w:rsidR="00535CE3">
        <w:rPr>
          <w:sz w:val="28"/>
          <w:szCs w:val="28"/>
        </w:rPr>
        <w:t xml:space="preserve">AHMSI’s alleged </w:t>
      </w:r>
      <w:r>
        <w:rPr>
          <w:sz w:val="28"/>
          <w:szCs w:val="28"/>
        </w:rPr>
        <w:t>possession of the note</w:t>
      </w:r>
      <w:r w:rsidR="00535CE3">
        <w:rPr>
          <w:sz w:val="28"/>
          <w:szCs w:val="28"/>
        </w:rPr>
        <w:t xml:space="preserve"> in July, 2008</w:t>
      </w:r>
      <w:r>
        <w:rPr>
          <w:sz w:val="28"/>
          <w:szCs w:val="28"/>
        </w:rPr>
        <w:t xml:space="preserve">.  The witness’s testimony was based entirely upon certain “business records” which were not entered into evidence.  Because the records were not entered into evidence prior to the witness’s testimony, her statements </w:t>
      </w:r>
      <w:r w:rsidR="00744A0B">
        <w:rPr>
          <w:sz w:val="28"/>
          <w:szCs w:val="28"/>
        </w:rPr>
        <w:t xml:space="preserve">regarding the contents of the records </w:t>
      </w:r>
      <w:r>
        <w:rPr>
          <w:sz w:val="28"/>
          <w:szCs w:val="28"/>
        </w:rPr>
        <w:t xml:space="preserve">were inadmissible.  This error </w:t>
      </w:r>
      <w:r w:rsidR="00535CE3">
        <w:rPr>
          <w:sz w:val="28"/>
          <w:szCs w:val="28"/>
        </w:rPr>
        <w:t>was also not</w:t>
      </w:r>
      <w:r>
        <w:rPr>
          <w:sz w:val="28"/>
          <w:szCs w:val="28"/>
        </w:rPr>
        <w:t xml:space="preserve"> harmless because, assuming that the note is negotiable, RCS was required to prove that the blank endorsement was effectuated prior to inception of the action.</w:t>
      </w:r>
      <w:r w:rsidR="00535CE3">
        <w:rPr>
          <w:sz w:val="28"/>
          <w:szCs w:val="28"/>
        </w:rPr>
        <w:t xml:space="preserve">  </w:t>
      </w:r>
      <w:r w:rsidR="00744A0B">
        <w:rPr>
          <w:sz w:val="28"/>
          <w:szCs w:val="28"/>
        </w:rPr>
        <w:t xml:space="preserve">As </w:t>
      </w:r>
      <w:r w:rsidR="00535CE3">
        <w:rPr>
          <w:sz w:val="28"/>
          <w:szCs w:val="28"/>
        </w:rPr>
        <w:t>this testimony was the only evidence offered by RCS to prove up this material fact, Homeowners would have certainly obtained a more favorable outcome absent the error.</w:t>
      </w:r>
    </w:p>
    <w:p w:rsidR="002104E6" w:rsidRDefault="002104E6" w:rsidP="002104E6">
      <w:pPr>
        <w:spacing w:line="480" w:lineRule="auto"/>
        <w:jc w:val="center"/>
        <w:rPr>
          <w:b/>
          <w:sz w:val="28"/>
          <w:szCs w:val="28"/>
        </w:rPr>
      </w:pPr>
      <w:r w:rsidRPr="002104E6">
        <w:rPr>
          <w:b/>
          <w:sz w:val="28"/>
          <w:szCs w:val="28"/>
        </w:rPr>
        <w:lastRenderedPageBreak/>
        <w:t>ARGUMENT</w:t>
      </w:r>
    </w:p>
    <w:p w:rsidR="009460F9" w:rsidRPr="00F46485" w:rsidRDefault="002104E6" w:rsidP="00F46485">
      <w:pPr>
        <w:pStyle w:val="ListParagraph"/>
        <w:numPr>
          <w:ilvl w:val="0"/>
          <w:numId w:val="1"/>
        </w:numPr>
        <w:spacing w:line="240" w:lineRule="auto"/>
        <w:jc w:val="both"/>
        <w:rPr>
          <w:rFonts w:ascii="Times New Roman Bold" w:hAnsi="Times New Roman Bold"/>
          <w:b/>
          <w:caps/>
          <w:sz w:val="28"/>
          <w:szCs w:val="28"/>
        </w:rPr>
      </w:pPr>
      <w:r w:rsidRPr="00F46485">
        <w:rPr>
          <w:rFonts w:ascii="Times New Roman Bold" w:hAnsi="Times New Roman Bold"/>
          <w:b/>
          <w:caps/>
          <w:sz w:val="28"/>
          <w:szCs w:val="28"/>
        </w:rPr>
        <w:t xml:space="preserve">The trial court committed reversal error when it granted </w:t>
      </w:r>
      <w:r w:rsidR="00387F64">
        <w:rPr>
          <w:rFonts w:ascii="Times New Roman Bold" w:hAnsi="Times New Roman Bold"/>
          <w:b/>
          <w:caps/>
          <w:sz w:val="28"/>
          <w:szCs w:val="28"/>
        </w:rPr>
        <w:t>RCS</w:t>
      </w:r>
      <w:r w:rsidRPr="00F46485">
        <w:rPr>
          <w:rFonts w:ascii="Times New Roman Bold" w:hAnsi="Times New Roman Bold"/>
          <w:b/>
          <w:caps/>
          <w:sz w:val="28"/>
          <w:szCs w:val="28"/>
        </w:rPr>
        <w:t xml:space="preserve"> a final judgment of foreclosure </w:t>
      </w:r>
      <w:r w:rsidR="00F46485">
        <w:rPr>
          <w:rFonts w:ascii="Times New Roman Bold" w:hAnsi="Times New Roman Bold"/>
          <w:b/>
          <w:caps/>
          <w:sz w:val="28"/>
          <w:szCs w:val="28"/>
        </w:rPr>
        <w:t xml:space="preserve">where </w:t>
      </w:r>
      <w:r w:rsidR="00387F64">
        <w:rPr>
          <w:rFonts w:ascii="Times New Roman Bold" w:hAnsi="Times New Roman Bold"/>
          <w:b/>
          <w:caps/>
          <w:sz w:val="28"/>
          <w:szCs w:val="28"/>
        </w:rPr>
        <w:t>RCS</w:t>
      </w:r>
      <w:r w:rsidR="00F46485">
        <w:rPr>
          <w:rFonts w:ascii="Times New Roman Bold" w:hAnsi="Times New Roman Bold"/>
          <w:b/>
          <w:caps/>
          <w:sz w:val="28"/>
          <w:szCs w:val="28"/>
        </w:rPr>
        <w:t xml:space="preserve"> failed to prove its standing to sue</w:t>
      </w:r>
    </w:p>
    <w:p w:rsidR="00F46485" w:rsidRDefault="00F46485" w:rsidP="00F46485">
      <w:pPr>
        <w:pStyle w:val="ListParagraph"/>
        <w:spacing w:line="240" w:lineRule="auto"/>
        <w:ind w:left="1080"/>
        <w:jc w:val="both"/>
        <w:rPr>
          <w:b/>
          <w:sz w:val="28"/>
          <w:szCs w:val="28"/>
        </w:rPr>
      </w:pPr>
    </w:p>
    <w:p w:rsidR="00F46485" w:rsidRDefault="009460F9" w:rsidP="009460F9">
      <w:pPr>
        <w:spacing w:line="480" w:lineRule="auto"/>
        <w:jc w:val="both"/>
        <w:rPr>
          <w:sz w:val="28"/>
          <w:szCs w:val="28"/>
        </w:rPr>
      </w:pPr>
      <w:r>
        <w:rPr>
          <w:sz w:val="28"/>
          <w:szCs w:val="28"/>
        </w:rPr>
        <w:tab/>
        <w:t xml:space="preserve">Because </w:t>
      </w:r>
      <w:r w:rsidR="00387F64">
        <w:rPr>
          <w:sz w:val="28"/>
          <w:szCs w:val="28"/>
        </w:rPr>
        <w:t>RCS</w:t>
      </w:r>
      <w:r w:rsidR="00744A0B">
        <w:rPr>
          <w:sz w:val="28"/>
          <w:szCs w:val="28"/>
        </w:rPr>
        <w:t xml:space="preserve"> (and its predecessor AHMSI)</w:t>
      </w:r>
      <w:r>
        <w:rPr>
          <w:sz w:val="28"/>
          <w:szCs w:val="28"/>
        </w:rPr>
        <w:t xml:space="preserve"> </w:t>
      </w:r>
      <w:r w:rsidR="00744A0B">
        <w:rPr>
          <w:sz w:val="28"/>
          <w:szCs w:val="28"/>
        </w:rPr>
        <w:t>prosecuted</w:t>
      </w:r>
      <w:r>
        <w:rPr>
          <w:sz w:val="28"/>
          <w:szCs w:val="28"/>
        </w:rPr>
        <w:t xml:space="preserve"> this action in a representative capacity</w:t>
      </w:r>
      <w:r w:rsidR="00535CE3">
        <w:rPr>
          <w:sz w:val="28"/>
          <w:szCs w:val="28"/>
        </w:rPr>
        <w:t xml:space="preserve"> as “servicer” of the note and mortgage</w:t>
      </w:r>
      <w:r>
        <w:rPr>
          <w:sz w:val="28"/>
          <w:szCs w:val="28"/>
        </w:rPr>
        <w:t>, it was required to prove at trial that an agency relationship existed between itself and the party whom it was suing on behalf of.</w:t>
      </w:r>
      <w:r w:rsidR="00F46485">
        <w:rPr>
          <w:sz w:val="28"/>
          <w:szCs w:val="28"/>
        </w:rPr>
        <w:t xml:space="preserve">  </w:t>
      </w:r>
      <w:r w:rsidRPr="00F46485">
        <w:rPr>
          <w:sz w:val="28"/>
          <w:szCs w:val="28"/>
        </w:rPr>
        <w:t>In</w:t>
      </w:r>
      <w:r>
        <w:rPr>
          <w:sz w:val="28"/>
          <w:szCs w:val="28"/>
        </w:rPr>
        <w:t xml:space="preserve"> other words, in order for </w:t>
      </w:r>
      <w:r w:rsidR="00387F64">
        <w:rPr>
          <w:sz w:val="28"/>
          <w:szCs w:val="28"/>
        </w:rPr>
        <w:t>RCS</w:t>
      </w:r>
      <w:r>
        <w:rPr>
          <w:sz w:val="28"/>
          <w:szCs w:val="28"/>
        </w:rPr>
        <w:t xml:space="preserve"> to have a sufficient stake in the outcome of the litigation, it had to prove that</w:t>
      </w:r>
      <w:r w:rsidR="00F46485">
        <w:rPr>
          <w:sz w:val="28"/>
          <w:szCs w:val="28"/>
        </w:rPr>
        <w:t xml:space="preserve"> it was </w:t>
      </w:r>
      <w:r w:rsidR="00535CE3">
        <w:rPr>
          <w:sz w:val="28"/>
          <w:szCs w:val="28"/>
        </w:rPr>
        <w:t>authorized to act</w:t>
      </w:r>
      <w:r w:rsidR="00F46485">
        <w:rPr>
          <w:sz w:val="28"/>
          <w:szCs w:val="28"/>
        </w:rPr>
        <w:t xml:space="preserve"> on behalf of its undisclosed principal</w:t>
      </w:r>
      <w:r>
        <w:rPr>
          <w:sz w:val="28"/>
          <w:szCs w:val="28"/>
        </w:rPr>
        <w:t xml:space="preserve">.  </w:t>
      </w:r>
    </w:p>
    <w:p w:rsidR="00F46485" w:rsidRDefault="00F46485" w:rsidP="009460F9">
      <w:pPr>
        <w:spacing w:line="480" w:lineRule="auto"/>
        <w:jc w:val="both"/>
        <w:rPr>
          <w:sz w:val="28"/>
          <w:szCs w:val="28"/>
        </w:rPr>
      </w:pPr>
      <w:r>
        <w:rPr>
          <w:sz w:val="28"/>
          <w:szCs w:val="28"/>
        </w:rPr>
        <w:tab/>
      </w:r>
      <w:r w:rsidR="009460F9">
        <w:rPr>
          <w:sz w:val="28"/>
          <w:szCs w:val="28"/>
        </w:rPr>
        <w:t xml:space="preserve">As a threshold matter, this required </w:t>
      </w:r>
      <w:r w:rsidR="00387F64">
        <w:rPr>
          <w:sz w:val="28"/>
          <w:szCs w:val="28"/>
        </w:rPr>
        <w:t>RCS</w:t>
      </w:r>
      <w:r w:rsidR="009460F9">
        <w:rPr>
          <w:sz w:val="28"/>
          <w:szCs w:val="28"/>
        </w:rPr>
        <w:t xml:space="preserve"> to prove that an agency relationship existed between itself and the entity which it was servicing the mortgage for.  Additionally, because the promissory note is not a negotiable instrument</w:t>
      </w:r>
      <w:r w:rsidR="002E705A">
        <w:rPr>
          <w:sz w:val="28"/>
          <w:szCs w:val="28"/>
        </w:rPr>
        <w:t>,</w:t>
      </w:r>
      <w:r w:rsidR="009460F9">
        <w:rPr>
          <w:sz w:val="28"/>
          <w:szCs w:val="28"/>
        </w:rPr>
        <w:t xml:space="preserve"> mere “possession” of the note endorsed in blank could not confer onto </w:t>
      </w:r>
      <w:r w:rsidR="00387F64">
        <w:rPr>
          <w:sz w:val="28"/>
          <w:szCs w:val="28"/>
        </w:rPr>
        <w:t>RCS</w:t>
      </w:r>
      <w:r w:rsidR="009460F9">
        <w:rPr>
          <w:sz w:val="28"/>
          <w:szCs w:val="28"/>
        </w:rPr>
        <w:t xml:space="preserve"> standing and the status of the real party in interest</w:t>
      </w:r>
      <w:r w:rsidR="002E705A">
        <w:rPr>
          <w:sz w:val="28"/>
          <w:szCs w:val="28"/>
        </w:rPr>
        <w:t xml:space="preserve">.  Finally, even if the promissory note was negotiable, </w:t>
      </w:r>
      <w:r w:rsidR="00387F64">
        <w:rPr>
          <w:sz w:val="28"/>
          <w:szCs w:val="28"/>
        </w:rPr>
        <w:t>RCS</w:t>
      </w:r>
      <w:r w:rsidR="002E705A">
        <w:rPr>
          <w:sz w:val="28"/>
          <w:szCs w:val="28"/>
        </w:rPr>
        <w:t xml:space="preserve"> was still required to prove up its agency re</w:t>
      </w:r>
      <w:r w:rsidR="00744A0B">
        <w:rPr>
          <w:sz w:val="28"/>
          <w:szCs w:val="28"/>
        </w:rPr>
        <w:t xml:space="preserve">lationship because the note was </w:t>
      </w:r>
      <w:r w:rsidR="002E705A">
        <w:rPr>
          <w:sz w:val="28"/>
          <w:szCs w:val="28"/>
        </w:rPr>
        <w:t xml:space="preserve">delivered to </w:t>
      </w:r>
      <w:r w:rsidR="00387F64">
        <w:rPr>
          <w:sz w:val="28"/>
          <w:szCs w:val="28"/>
        </w:rPr>
        <w:t>RCS</w:t>
      </w:r>
      <w:r w:rsidR="002E705A">
        <w:rPr>
          <w:sz w:val="28"/>
          <w:szCs w:val="28"/>
        </w:rPr>
        <w:t>’s undisclosed principal.</w:t>
      </w:r>
      <w:r>
        <w:rPr>
          <w:sz w:val="28"/>
          <w:szCs w:val="28"/>
        </w:rPr>
        <w:t xml:space="preserve">  </w:t>
      </w:r>
    </w:p>
    <w:p w:rsidR="009460F9" w:rsidRPr="009460F9" w:rsidRDefault="00F46485" w:rsidP="009460F9">
      <w:pPr>
        <w:spacing w:line="480" w:lineRule="auto"/>
        <w:jc w:val="both"/>
        <w:rPr>
          <w:sz w:val="28"/>
          <w:szCs w:val="28"/>
        </w:rPr>
      </w:pPr>
      <w:r>
        <w:rPr>
          <w:sz w:val="28"/>
          <w:szCs w:val="28"/>
        </w:rPr>
        <w:tab/>
        <w:t xml:space="preserve">Therefore, it was a reversal error to grant a final judgment of foreclosure in favor of </w:t>
      </w:r>
      <w:r w:rsidR="00387F64">
        <w:rPr>
          <w:sz w:val="28"/>
          <w:szCs w:val="28"/>
        </w:rPr>
        <w:t>RCS</w:t>
      </w:r>
      <w:r>
        <w:rPr>
          <w:sz w:val="28"/>
          <w:szCs w:val="28"/>
        </w:rPr>
        <w:t xml:space="preserve"> where no evidence of an agency relationship was established at trial.</w:t>
      </w:r>
    </w:p>
    <w:p w:rsidR="002104E6" w:rsidRDefault="002104E6" w:rsidP="00F46485">
      <w:pPr>
        <w:pStyle w:val="ListParagraph"/>
        <w:numPr>
          <w:ilvl w:val="0"/>
          <w:numId w:val="2"/>
        </w:numPr>
        <w:spacing w:line="240" w:lineRule="auto"/>
        <w:jc w:val="both"/>
        <w:rPr>
          <w:b/>
          <w:sz w:val="28"/>
          <w:szCs w:val="28"/>
        </w:rPr>
      </w:pPr>
      <w:r>
        <w:rPr>
          <w:b/>
          <w:sz w:val="28"/>
          <w:szCs w:val="28"/>
        </w:rPr>
        <w:t xml:space="preserve">As an agent acting for an undisclosed principal, </w:t>
      </w:r>
      <w:r w:rsidR="00FF2223">
        <w:rPr>
          <w:b/>
          <w:sz w:val="28"/>
          <w:szCs w:val="28"/>
        </w:rPr>
        <w:t>RCS</w:t>
      </w:r>
      <w:r>
        <w:rPr>
          <w:b/>
          <w:sz w:val="28"/>
          <w:szCs w:val="28"/>
        </w:rPr>
        <w:t xml:space="preserve"> was required to present some evidence that the principal acquiesced to its actions</w:t>
      </w:r>
    </w:p>
    <w:p w:rsidR="00F46485" w:rsidRDefault="00F46485" w:rsidP="00F46485">
      <w:pPr>
        <w:pStyle w:val="ListParagraph"/>
        <w:spacing w:line="240" w:lineRule="auto"/>
        <w:ind w:left="1440"/>
        <w:jc w:val="both"/>
        <w:rPr>
          <w:b/>
          <w:sz w:val="28"/>
          <w:szCs w:val="28"/>
        </w:rPr>
      </w:pPr>
    </w:p>
    <w:p w:rsidR="00F46485" w:rsidRDefault="00F46485" w:rsidP="00F46485">
      <w:pPr>
        <w:spacing w:line="480" w:lineRule="auto"/>
        <w:jc w:val="both"/>
        <w:rPr>
          <w:sz w:val="28"/>
          <w:szCs w:val="28"/>
        </w:rPr>
      </w:pPr>
      <w:r>
        <w:rPr>
          <w:sz w:val="28"/>
          <w:szCs w:val="28"/>
        </w:rPr>
        <w:lastRenderedPageBreak/>
        <w:tab/>
        <w:t xml:space="preserve">As the purported “servicer” of the note and mortgage, </w:t>
      </w:r>
      <w:r w:rsidR="00387F64">
        <w:rPr>
          <w:sz w:val="28"/>
          <w:szCs w:val="28"/>
        </w:rPr>
        <w:t>RCS</w:t>
      </w:r>
      <w:r>
        <w:rPr>
          <w:sz w:val="28"/>
          <w:szCs w:val="28"/>
        </w:rPr>
        <w:t xml:space="preserve"> was not the party to whom the debt was owed.  </w:t>
      </w:r>
      <w:r w:rsidR="006B2183">
        <w:rPr>
          <w:i/>
          <w:sz w:val="28"/>
          <w:szCs w:val="28"/>
        </w:rPr>
        <w:t xml:space="preserve">See e.g. </w:t>
      </w:r>
      <w:r w:rsidR="0094344B">
        <w:rPr>
          <w:sz w:val="28"/>
          <w:szCs w:val="28"/>
        </w:rPr>
        <w:t xml:space="preserve">24 C.F.R. §3500.2(b) (defining the act of “servicing” under the Real Estate Settlement Procedures Act as </w:t>
      </w:r>
      <w:r w:rsidR="00CC04C2" w:rsidRPr="00CC04C2">
        <w:rPr>
          <w:sz w:val="28"/>
          <w:szCs w:val="28"/>
        </w:rPr>
        <w:t>“receiving any scheduled periodic payments from a borrower pursuant to the terms of any mortgage loan…</w:t>
      </w:r>
      <w:r w:rsidR="00CC04C2" w:rsidRPr="00CC04C2">
        <w:rPr>
          <w:b/>
          <w:sz w:val="28"/>
          <w:szCs w:val="28"/>
        </w:rPr>
        <w:t>and making the payments to the owner of the loan or other third parti</w:t>
      </w:r>
      <w:r w:rsidR="00CC04C2">
        <w:rPr>
          <w:b/>
          <w:sz w:val="28"/>
          <w:szCs w:val="28"/>
        </w:rPr>
        <w:t>es</w:t>
      </w:r>
      <w:r w:rsidR="00CC04C2" w:rsidRPr="00CC04C2">
        <w:rPr>
          <w:sz w:val="28"/>
          <w:szCs w:val="28"/>
        </w:rPr>
        <w:t>…</w:t>
      </w:r>
      <w:r w:rsidR="00CC04C2" w:rsidRPr="00CC04C2">
        <w:rPr>
          <w:b/>
          <w:sz w:val="28"/>
          <w:szCs w:val="28"/>
        </w:rPr>
        <w:t>pursuant to the terms of the mortgage servicing loan documents or servicing contract</w:t>
      </w:r>
      <w:r w:rsidR="00CC04C2" w:rsidRPr="00CC04C2">
        <w:rPr>
          <w:sz w:val="28"/>
          <w:szCs w:val="28"/>
        </w:rPr>
        <w:t>.”</w:t>
      </w:r>
      <w:r w:rsidR="00CC04C2">
        <w:rPr>
          <w:sz w:val="28"/>
          <w:szCs w:val="28"/>
        </w:rPr>
        <w:t xml:space="preserve">) (Bold emphasis added).  </w:t>
      </w:r>
      <w:r>
        <w:rPr>
          <w:sz w:val="28"/>
          <w:szCs w:val="28"/>
        </w:rPr>
        <w:t xml:space="preserve">Rather, </w:t>
      </w:r>
      <w:r w:rsidR="00387F64">
        <w:rPr>
          <w:sz w:val="28"/>
          <w:szCs w:val="28"/>
        </w:rPr>
        <w:t>RCS</w:t>
      </w:r>
      <w:r w:rsidR="00CC04C2">
        <w:rPr>
          <w:sz w:val="28"/>
          <w:szCs w:val="28"/>
        </w:rPr>
        <w:t xml:space="preserve"> was the agent for the</w:t>
      </w:r>
      <w:r>
        <w:rPr>
          <w:sz w:val="28"/>
          <w:szCs w:val="28"/>
        </w:rPr>
        <w:t xml:space="preserve"> party </w:t>
      </w:r>
      <w:r w:rsidR="00CC04C2">
        <w:rPr>
          <w:sz w:val="28"/>
          <w:szCs w:val="28"/>
        </w:rPr>
        <w:t xml:space="preserve">it was “servicing” the loan on behalf of </w:t>
      </w:r>
      <w:r>
        <w:rPr>
          <w:sz w:val="28"/>
          <w:szCs w:val="28"/>
        </w:rPr>
        <w:t>and could only foreclose the mortgage if its principal granted it authority to act.</w:t>
      </w:r>
      <w:r w:rsidR="005312B9">
        <w:rPr>
          <w:sz w:val="28"/>
          <w:szCs w:val="28"/>
        </w:rPr>
        <w:t xml:space="preserve">  The question then turns to what burden of proof </w:t>
      </w:r>
      <w:r w:rsidR="00387F64">
        <w:rPr>
          <w:sz w:val="28"/>
          <w:szCs w:val="28"/>
        </w:rPr>
        <w:t>RCS</w:t>
      </w:r>
      <w:r w:rsidR="005312B9">
        <w:rPr>
          <w:sz w:val="28"/>
          <w:szCs w:val="28"/>
        </w:rPr>
        <w:t xml:space="preserve"> was required to present at trial in order to establish this.</w:t>
      </w:r>
    </w:p>
    <w:p w:rsidR="00F46485" w:rsidRDefault="00F46485" w:rsidP="00F46485">
      <w:pPr>
        <w:spacing w:line="480" w:lineRule="auto"/>
        <w:jc w:val="both"/>
        <w:rPr>
          <w:sz w:val="28"/>
          <w:szCs w:val="28"/>
        </w:rPr>
      </w:pPr>
      <w:r>
        <w:rPr>
          <w:sz w:val="28"/>
          <w:szCs w:val="28"/>
        </w:rPr>
        <w:tab/>
        <w:t xml:space="preserve">This </w:t>
      </w:r>
      <w:r w:rsidR="005312B9">
        <w:rPr>
          <w:sz w:val="28"/>
          <w:szCs w:val="28"/>
        </w:rPr>
        <w:t>issue</w:t>
      </w:r>
      <w:r>
        <w:rPr>
          <w:sz w:val="28"/>
          <w:szCs w:val="28"/>
        </w:rPr>
        <w:t xml:space="preserve"> was recently addressed by the Fourth District Court of Appeal in </w:t>
      </w:r>
      <w:r w:rsidR="005312B9">
        <w:rPr>
          <w:sz w:val="28"/>
          <w:szCs w:val="28"/>
        </w:rPr>
        <w:t xml:space="preserve">a slightly different context.  In </w:t>
      </w:r>
      <w:r w:rsidR="005312B9" w:rsidRPr="005312B9">
        <w:rPr>
          <w:i/>
          <w:sz w:val="28"/>
          <w:szCs w:val="28"/>
        </w:rPr>
        <w:t>Elston/Leetsdale, LLC v. CWCapital Asset Management, LLC</w:t>
      </w:r>
      <w:r w:rsidR="005312B9">
        <w:rPr>
          <w:sz w:val="28"/>
          <w:szCs w:val="28"/>
        </w:rPr>
        <w:t xml:space="preserve">, 37 Fla. L. Weekly D785b (Fla. 4th DCA April 4, 2012), CW, a servicer of a note and mortgage executed by Elston, sued Elston for foreclosure even though the mortgage and note were owned by a “securitized trust.”  </w:t>
      </w:r>
      <w:r w:rsidR="005312B9" w:rsidRPr="005312B9">
        <w:rPr>
          <w:i/>
          <w:sz w:val="28"/>
          <w:szCs w:val="28"/>
        </w:rPr>
        <w:t>Id</w:t>
      </w:r>
      <w:r w:rsidR="005312B9">
        <w:rPr>
          <w:sz w:val="28"/>
          <w:szCs w:val="28"/>
        </w:rPr>
        <w:t xml:space="preserve">.  CW then moved for, and was granted, an order to show cause why full payments should not be made during the pendency of the action.  </w:t>
      </w:r>
      <w:r w:rsidR="005312B9">
        <w:rPr>
          <w:i/>
          <w:sz w:val="28"/>
          <w:szCs w:val="28"/>
        </w:rPr>
        <w:t>Id</w:t>
      </w:r>
      <w:r w:rsidR="005312B9">
        <w:rPr>
          <w:sz w:val="28"/>
          <w:szCs w:val="28"/>
        </w:rPr>
        <w:t xml:space="preserve">.  Elston thereafter appealed, arguing that the “trial court erred by ordering it to make payments to CW because CW failed to properly allege standing.”  </w:t>
      </w:r>
      <w:r w:rsidR="005312B9" w:rsidRPr="00CC04C2">
        <w:rPr>
          <w:i/>
          <w:sz w:val="28"/>
          <w:szCs w:val="28"/>
        </w:rPr>
        <w:t>Id</w:t>
      </w:r>
      <w:r w:rsidR="005312B9">
        <w:rPr>
          <w:sz w:val="28"/>
          <w:szCs w:val="28"/>
        </w:rPr>
        <w:t xml:space="preserve">.  </w:t>
      </w:r>
    </w:p>
    <w:p w:rsidR="005312B9" w:rsidRDefault="005312B9" w:rsidP="00F46485">
      <w:pPr>
        <w:spacing w:line="480" w:lineRule="auto"/>
        <w:jc w:val="both"/>
        <w:rPr>
          <w:sz w:val="28"/>
          <w:szCs w:val="28"/>
        </w:rPr>
      </w:pPr>
      <w:r>
        <w:rPr>
          <w:sz w:val="28"/>
          <w:szCs w:val="28"/>
        </w:rPr>
        <w:lastRenderedPageBreak/>
        <w:tab/>
        <w:t xml:space="preserve">On appeal, the Fourth District agreed with Elston and reversed the trial court’s order.  The Court began with the premise that “[i]n securitization cases, a servicer may be considered a party in interest to legal action </w:t>
      </w:r>
      <w:r w:rsidRPr="005312B9">
        <w:rPr>
          <w:b/>
          <w:sz w:val="28"/>
          <w:szCs w:val="28"/>
        </w:rPr>
        <w:t>as long as the trustee joins or ratifies its action</w:t>
      </w:r>
      <w:r>
        <w:rPr>
          <w:sz w:val="28"/>
          <w:szCs w:val="28"/>
        </w:rPr>
        <w:t xml:space="preserve">.”  </w:t>
      </w:r>
      <w:r>
        <w:rPr>
          <w:i/>
          <w:sz w:val="28"/>
          <w:szCs w:val="28"/>
        </w:rPr>
        <w:t>Id</w:t>
      </w:r>
      <w:r>
        <w:rPr>
          <w:sz w:val="28"/>
          <w:szCs w:val="28"/>
        </w:rPr>
        <w:t>.  Noting that CW relied on nothing more than its own allegations and sworn statement</w:t>
      </w:r>
      <w:r w:rsidR="00CC04C2">
        <w:rPr>
          <w:sz w:val="28"/>
          <w:szCs w:val="28"/>
        </w:rPr>
        <w:t>s</w:t>
      </w:r>
      <w:r>
        <w:rPr>
          <w:sz w:val="28"/>
          <w:szCs w:val="28"/>
        </w:rPr>
        <w:t xml:space="preserve"> in support of its contention that it could sue on behalf of the trust, the Fourth District concluded that same was “insufficient evidence to prove that it is authorized to sue on the trust’s behalf.”  </w:t>
      </w:r>
      <w:r w:rsidRPr="005312B9">
        <w:rPr>
          <w:i/>
          <w:sz w:val="28"/>
          <w:szCs w:val="28"/>
        </w:rPr>
        <w:t>Id</w:t>
      </w:r>
      <w:r>
        <w:rPr>
          <w:sz w:val="28"/>
          <w:szCs w:val="28"/>
        </w:rPr>
        <w:t xml:space="preserve">.  </w:t>
      </w:r>
    </w:p>
    <w:p w:rsidR="005312B9" w:rsidRDefault="005312B9" w:rsidP="00F46485">
      <w:pPr>
        <w:spacing w:line="480" w:lineRule="auto"/>
        <w:jc w:val="both"/>
        <w:rPr>
          <w:sz w:val="28"/>
          <w:szCs w:val="28"/>
        </w:rPr>
      </w:pPr>
      <w:r>
        <w:rPr>
          <w:sz w:val="28"/>
          <w:szCs w:val="28"/>
        </w:rPr>
        <w:tab/>
        <w:t xml:space="preserve">It is entirely unclear whether Homeowners note and mortgage had been “securitized” because </w:t>
      </w:r>
      <w:r w:rsidR="00387F64">
        <w:rPr>
          <w:sz w:val="28"/>
          <w:szCs w:val="28"/>
        </w:rPr>
        <w:t>RCS</w:t>
      </w:r>
      <w:r>
        <w:rPr>
          <w:sz w:val="28"/>
          <w:szCs w:val="28"/>
        </w:rPr>
        <w:t xml:space="preserve"> failed to offer any evidence or testimony at the trial as to the identification of the entity which it was servicing the debt on behalf of.  Nevertheless, the testimony at trial did establish that: (1) AHMSI</w:t>
      </w:r>
      <w:r w:rsidR="0065495E">
        <w:rPr>
          <w:sz w:val="28"/>
          <w:szCs w:val="28"/>
        </w:rPr>
        <w:t xml:space="preserve"> </w:t>
      </w:r>
      <w:r>
        <w:rPr>
          <w:sz w:val="28"/>
          <w:szCs w:val="28"/>
        </w:rPr>
        <w:t xml:space="preserve">initiated this action as “servicer” </w:t>
      </w:r>
      <w:r w:rsidR="00CA42BD">
        <w:rPr>
          <w:sz w:val="28"/>
          <w:szCs w:val="28"/>
        </w:rPr>
        <w:t>[T. 32]</w:t>
      </w:r>
      <w:r w:rsidR="0065495E">
        <w:rPr>
          <w:sz w:val="28"/>
          <w:szCs w:val="28"/>
        </w:rPr>
        <w:t xml:space="preserve">; </w:t>
      </w:r>
      <w:r>
        <w:rPr>
          <w:sz w:val="28"/>
          <w:szCs w:val="28"/>
        </w:rPr>
        <w:t xml:space="preserve">(2) all AHMSI transferred to </w:t>
      </w:r>
      <w:r w:rsidR="00387F64">
        <w:rPr>
          <w:sz w:val="28"/>
          <w:szCs w:val="28"/>
        </w:rPr>
        <w:t>RCS</w:t>
      </w:r>
      <w:r>
        <w:rPr>
          <w:sz w:val="28"/>
          <w:szCs w:val="28"/>
        </w:rPr>
        <w:t xml:space="preserve"> were these servicing rights </w:t>
      </w:r>
      <w:r w:rsidR="00CA42BD">
        <w:rPr>
          <w:sz w:val="28"/>
          <w:szCs w:val="28"/>
        </w:rPr>
        <w:t>[T. 32]</w:t>
      </w:r>
      <w:r w:rsidR="0065495E">
        <w:rPr>
          <w:sz w:val="28"/>
          <w:szCs w:val="28"/>
        </w:rPr>
        <w:t>; and therefore (3) RCS only “serviced” the note and mortgage [T. 77]</w:t>
      </w:r>
      <w:r>
        <w:rPr>
          <w:sz w:val="28"/>
          <w:szCs w:val="28"/>
        </w:rPr>
        <w:t xml:space="preserve">.  </w:t>
      </w:r>
      <w:r w:rsidR="0065495E">
        <w:rPr>
          <w:sz w:val="28"/>
          <w:szCs w:val="28"/>
        </w:rPr>
        <w:t>As a result</w:t>
      </w:r>
      <w:r>
        <w:rPr>
          <w:sz w:val="28"/>
          <w:szCs w:val="28"/>
        </w:rPr>
        <w:t xml:space="preserve">, to the extent that the note and mortgage have been securitized, </w:t>
      </w:r>
      <w:r w:rsidR="00387F64">
        <w:rPr>
          <w:sz w:val="28"/>
          <w:szCs w:val="28"/>
        </w:rPr>
        <w:t>RCS</w:t>
      </w:r>
      <w:r>
        <w:rPr>
          <w:sz w:val="28"/>
          <w:szCs w:val="28"/>
        </w:rPr>
        <w:t xml:space="preserve"> failed to present any evidence whatsoever that it was authorized to s</w:t>
      </w:r>
      <w:r w:rsidR="002A1E1F">
        <w:rPr>
          <w:sz w:val="28"/>
          <w:szCs w:val="28"/>
        </w:rPr>
        <w:t>ue on behalf of the trust.</w:t>
      </w:r>
    </w:p>
    <w:p w:rsidR="002A1E1F" w:rsidRDefault="002A1E1F" w:rsidP="00F46485">
      <w:pPr>
        <w:spacing w:line="480" w:lineRule="auto"/>
        <w:jc w:val="both"/>
        <w:rPr>
          <w:sz w:val="28"/>
          <w:szCs w:val="28"/>
        </w:rPr>
      </w:pPr>
      <w:r>
        <w:rPr>
          <w:sz w:val="28"/>
          <w:szCs w:val="28"/>
        </w:rPr>
        <w:tab/>
        <w:t xml:space="preserve">Even if the note and mortgage was not securitized, case law is clear that </w:t>
      </w:r>
      <w:r w:rsidR="00387F64">
        <w:rPr>
          <w:sz w:val="28"/>
          <w:szCs w:val="28"/>
        </w:rPr>
        <w:t>RCS</w:t>
      </w:r>
      <w:r>
        <w:rPr>
          <w:sz w:val="28"/>
          <w:szCs w:val="28"/>
        </w:rPr>
        <w:t xml:space="preserve"> was required to present evidence that it was authorized to bring the action if it was maintaining the case on behalf of </w:t>
      </w:r>
      <w:r w:rsidRPr="002A1E1F">
        <w:rPr>
          <w:b/>
          <w:sz w:val="28"/>
          <w:szCs w:val="28"/>
        </w:rPr>
        <w:t>anyone</w:t>
      </w:r>
      <w:r>
        <w:rPr>
          <w:sz w:val="28"/>
          <w:szCs w:val="28"/>
        </w:rPr>
        <w:t xml:space="preserve"> other than itself.  In </w:t>
      </w:r>
      <w:r w:rsidRPr="002A1E1F">
        <w:rPr>
          <w:i/>
          <w:sz w:val="28"/>
          <w:szCs w:val="28"/>
        </w:rPr>
        <w:t>Juega v. Davidson</w:t>
      </w:r>
      <w:r>
        <w:rPr>
          <w:sz w:val="28"/>
          <w:szCs w:val="28"/>
        </w:rPr>
        <w:t xml:space="preserve">, 8 So. 3d 488 (Fla. 3d DCA 2009), the Third District reversed an order of </w:t>
      </w:r>
      <w:r>
        <w:rPr>
          <w:sz w:val="28"/>
          <w:szCs w:val="28"/>
        </w:rPr>
        <w:lastRenderedPageBreak/>
        <w:t>dismissal for lack of standing because it found that the plaintiff was an agent who had been granted full authority to act for the real party in interest.</w:t>
      </w:r>
      <w:r w:rsidR="005D13BC">
        <w:rPr>
          <w:sz w:val="28"/>
          <w:szCs w:val="28"/>
        </w:rPr>
        <w:t xml:space="preserve">  </w:t>
      </w:r>
      <w:r w:rsidR="005D13BC" w:rsidRPr="005D13BC">
        <w:rPr>
          <w:i/>
          <w:sz w:val="28"/>
          <w:szCs w:val="28"/>
        </w:rPr>
        <w:t>Id.</w:t>
      </w:r>
      <w:r w:rsidR="005D13BC">
        <w:rPr>
          <w:sz w:val="28"/>
          <w:szCs w:val="28"/>
        </w:rPr>
        <w:t xml:space="preserve"> at 488.</w:t>
      </w:r>
      <w:r>
        <w:rPr>
          <w:sz w:val="28"/>
          <w:szCs w:val="28"/>
        </w:rPr>
        <w:t xml:space="preserve">  However, in </w:t>
      </w:r>
      <w:r w:rsidRPr="002A1E1F">
        <w:rPr>
          <w:i/>
          <w:sz w:val="28"/>
          <w:szCs w:val="28"/>
        </w:rPr>
        <w:t>Juegra</w:t>
      </w:r>
      <w:r>
        <w:rPr>
          <w:sz w:val="28"/>
          <w:szCs w:val="28"/>
        </w:rPr>
        <w:t xml:space="preserve">, the real party in interest filed an affidavit averring that the plaintiff was pursuing the litigation on its behalf and ratified all actions taken by the plaintiff since the inception of the action.  </w:t>
      </w:r>
      <w:r w:rsidRPr="002A1E1F">
        <w:rPr>
          <w:i/>
          <w:sz w:val="28"/>
          <w:szCs w:val="28"/>
        </w:rPr>
        <w:t>Id.</w:t>
      </w:r>
      <w:r>
        <w:rPr>
          <w:sz w:val="28"/>
          <w:szCs w:val="28"/>
        </w:rPr>
        <w:t xml:space="preserve"> at 489.  </w:t>
      </w:r>
      <w:r w:rsidR="005D13BC">
        <w:rPr>
          <w:sz w:val="28"/>
          <w:szCs w:val="28"/>
        </w:rPr>
        <w:t>On the basis of this affidavit, the Third District held that “the facts…establish that the agent, Juegra, has standing.”</w:t>
      </w:r>
    </w:p>
    <w:p w:rsidR="005D13BC" w:rsidRDefault="005D13BC" w:rsidP="00F46485">
      <w:pPr>
        <w:spacing w:line="480" w:lineRule="auto"/>
        <w:jc w:val="both"/>
        <w:rPr>
          <w:sz w:val="28"/>
          <w:szCs w:val="28"/>
        </w:rPr>
      </w:pPr>
      <w:r>
        <w:rPr>
          <w:sz w:val="28"/>
          <w:szCs w:val="28"/>
        </w:rPr>
        <w:tab/>
        <w:t xml:space="preserve">Likewise, in </w:t>
      </w:r>
      <w:r w:rsidRPr="005D13BC">
        <w:rPr>
          <w:i/>
          <w:sz w:val="28"/>
          <w:szCs w:val="28"/>
        </w:rPr>
        <w:t>Kumar Corp. v. Nopal Lines, Ltd.</w:t>
      </w:r>
      <w:r>
        <w:rPr>
          <w:sz w:val="28"/>
          <w:szCs w:val="28"/>
        </w:rPr>
        <w:t>, 462 So. 2d 1178 (Fla. 3d DCA 1985),</w:t>
      </w:r>
      <w:r w:rsidR="00E84CB3">
        <w:rPr>
          <w:sz w:val="28"/>
          <w:szCs w:val="28"/>
        </w:rPr>
        <w:t xml:space="preserve"> Kumar sued Nopal to recover damages for the loss of certain cargo.  </w:t>
      </w:r>
      <w:r w:rsidR="00E84CB3">
        <w:rPr>
          <w:i/>
          <w:sz w:val="28"/>
          <w:szCs w:val="28"/>
        </w:rPr>
        <w:t xml:space="preserve">Id. </w:t>
      </w:r>
      <w:r w:rsidR="00E84CB3">
        <w:rPr>
          <w:sz w:val="28"/>
          <w:szCs w:val="28"/>
        </w:rPr>
        <w:t xml:space="preserve">at 1180.  </w:t>
      </w:r>
      <w:r>
        <w:rPr>
          <w:sz w:val="28"/>
          <w:szCs w:val="28"/>
        </w:rPr>
        <w:t xml:space="preserve">  </w:t>
      </w:r>
      <w:r w:rsidR="00B966BD">
        <w:rPr>
          <w:sz w:val="28"/>
          <w:szCs w:val="28"/>
        </w:rPr>
        <w:t>Nopal argued that under an applicable Florida statute, “</w:t>
      </w:r>
      <w:r w:rsidR="00B966BD" w:rsidRPr="00B966BD">
        <w:rPr>
          <w:sz w:val="28"/>
          <w:szCs w:val="28"/>
        </w:rPr>
        <w:t>the risk of loss or damage to the goo</w:t>
      </w:r>
      <w:r w:rsidR="00B966BD">
        <w:rPr>
          <w:sz w:val="28"/>
          <w:szCs w:val="28"/>
        </w:rPr>
        <w:t>ds passed to Nava, the buyer,</w:t>
      </w:r>
      <w:r w:rsidR="00B966BD" w:rsidRPr="00B966BD">
        <w:rPr>
          <w:sz w:val="28"/>
          <w:szCs w:val="28"/>
        </w:rPr>
        <w:t xml:space="preserve"> and that, therefore, since Kumar could not have suffered the loss, it had no standing to sue.</w:t>
      </w:r>
      <w:r w:rsidR="00B966BD">
        <w:rPr>
          <w:sz w:val="28"/>
          <w:szCs w:val="28"/>
        </w:rPr>
        <w:t xml:space="preserve">”  </w:t>
      </w:r>
      <w:r w:rsidR="00B966BD" w:rsidRPr="00B966BD">
        <w:rPr>
          <w:i/>
          <w:sz w:val="28"/>
          <w:szCs w:val="28"/>
        </w:rPr>
        <w:t>Id.</w:t>
      </w:r>
      <w:r w:rsidR="00B966BD">
        <w:rPr>
          <w:sz w:val="28"/>
          <w:szCs w:val="28"/>
        </w:rPr>
        <w:t xml:space="preserve"> at 1181.  While Kumar conceded that Nopal’s argument regarding damages was technically correct, it contended that it brought suit on Nava’s behalf and filed two affidavits signed by Nava that ratified and endorsed Kumar’s actions.  </w:t>
      </w:r>
      <w:r w:rsidR="00B966BD" w:rsidRPr="00B966BD">
        <w:rPr>
          <w:i/>
          <w:sz w:val="28"/>
          <w:szCs w:val="28"/>
        </w:rPr>
        <w:t>Id.</w:t>
      </w:r>
      <w:r w:rsidR="00B966BD">
        <w:rPr>
          <w:sz w:val="28"/>
          <w:szCs w:val="28"/>
        </w:rPr>
        <w:t xml:space="preserve"> at 1181-82.  </w:t>
      </w:r>
      <w:r w:rsidR="0037670C">
        <w:rPr>
          <w:sz w:val="28"/>
          <w:szCs w:val="28"/>
        </w:rPr>
        <w:t>T</w:t>
      </w:r>
      <w:r w:rsidR="00B966BD">
        <w:rPr>
          <w:sz w:val="28"/>
          <w:szCs w:val="28"/>
        </w:rPr>
        <w:t xml:space="preserve">he trial court rejected Kumar’s arguments and granted summary judgment in favor of Nopal contending that since the risk of loss had passed to Nava, Kumar had no standing to bring the claim.  </w:t>
      </w:r>
      <w:r w:rsidR="00B966BD" w:rsidRPr="00B966BD">
        <w:rPr>
          <w:i/>
          <w:sz w:val="28"/>
          <w:szCs w:val="28"/>
        </w:rPr>
        <w:t>Id.</w:t>
      </w:r>
      <w:r w:rsidR="00B966BD">
        <w:rPr>
          <w:sz w:val="28"/>
          <w:szCs w:val="28"/>
        </w:rPr>
        <w:t xml:space="preserve"> at 1182.</w:t>
      </w:r>
    </w:p>
    <w:p w:rsidR="00B966BD" w:rsidRDefault="00B966BD" w:rsidP="00F46485">
      <w:pPr>
        <w:spacing w:line="480" w:lineRule="auto"/>
        <w:jc w:val="both"/>
        <w:rPr>
          <w:sz w:val="28"/>
          <w:szCs w:val="28"/>
        </w:rPr>
      </w:pPr>
      <w:r>
        <w:rPr>
          <w:sz w:val="28"/>
          <w:szCs w:val="28"/>
        </w:rPr>
        <w:tab/>
        <w:t xml:space="preserve">On appeal the Third District reversed, holding that “Kumar, by virtue of having borne the loss in Nava’s stead, had standing to sue…as Nava’s agent, </w:t>
      </w:r>
      <w:r w:rsidRPr="00B966BD">
        <w:rPr>
          <w:b/>
          <w:sz w:val="28"/>
          <w:szCs w:val="28"/>
        </w:rPr>
        <w:t xml:space="preserve">its </w:t>
      </w:r>
      <w:r w:rsidRPr="00B966BD">
        <w:rPr>
          <w:b/>
          <w:sz w:val="28"/>
          <w:szCs w:val="28"/>
        </w:rPr>
        <w:lastRenderedPageBreak/>
        <w:t>action having been later ratified by Nava</w:t>
      </w:r>
      <w:r>
        <w:rPr>
          <w:sz w:val="28"/>
          <w:szCs w:val="28"/>
        </w:rPr>
        <w:t xml:space="preserve">.”  </w:t>
      </w:r>
      <w:r w:rsidRPr="00B966BD">
        <w:rPr>
          <w:i/>
          <w:sz w:val="28"/>
          <w:szCs w:val="28"/>
        </w:rPr>
        <w:t>Id.</w:t>
      </w:r>
      <w:r>
        <w:rPr>
          <w:sz w:val="28"/>
          <w:szCs w:val="28"/>
        </w:rPr>
        <w:t xml:space="preserve">  (Bold emphasis added).</w:t>
      </w:r>
      <w:r w:rsidR="001747C9">
        <w:rPr>
          <w:sz w:val="28"/>
          <w:szCs w:val="28"/>
        </w:rPr>
        <w:t xml:space="preserve">  The </w:t>
      </w:r>
      <w:r w:rsidR="001747C9" w:rsidRPr="001747C9">
        <w:rPr>
          <w:i/>
          <w:sz w:val="28"/>
          <w:szCs w:val="28"/>
        </w:rPr>
        <w:t>Kumar</w:t>
      </w:r>
      <w:r w:rsidR="001747C9">
        <w:rPr>
          <w:sz w:val="28"/>
          <w:szCs w:val="28"/>
        </w:rPr>
        <w:t xml:space="preserve"> court explained that standing is either having, or representing one who has, a “sufficient stake in an otherwise justiciable controversy to obtain judicial resolution of that controversy.”  </w:t>
      </w:r>
      <w:r w:rsidR="001747C9" w:rsidRPr="001747C9">
        <w:rPr>
          <w:i/>
          <w:sz w:val="28"/>
          <w:szCs w:val="28"/>
        </w:rPr>
        <w:t>Id</w:t>
      </w:r>
      <w:r w:rsidR="001747C9">
        <w:rPr>
          <w:sz w:val="28"/>
          <w:szCs w:val="28"/>
        </w:rPr>
        <w:t xml:space="preserve">.  Additionally, </w:t>
      </w:r>
      <w:r w:rsidR="0037670C">
        <w:rPr>
          <w:sz w:val="28"/>
          <w:szCs w:val="28"/>
        </w:rPr>
        <w:t xml:space="preserve">the Court </w:t>
      </w:r>
      <w:r w:rsidR="001747C9">
        <w:rPr>
          <w:sz w:val="28"/>
          <w:szCs w:val="28"/>
        </w:rPr>
        <w:t xml:space="preserve">reasoned that because Fla. R. Civ. P. 1.210(a) permits an action to be prosecuted in the name of someone other than, but acting for, the real party in interest, “where a plaintiff is either the real party in interest or maintaining the action on behalf of the real party in interest, its action cannot be terminated on that ground that it lacks standing.”  </w:t>
      </w:r>
      <w:r w:rsidR="001747C9">
        <w:rPr>
          <w:i/>
          <w:sz w:val="28"/>
          <w:szCs w:val="28"/>
        </w:rPr>
        <w:t xml:space="preserve">Id. </w:t>
      </w:r>
      <w:r w:rsidR="001747C9">
        <w:rPr>
          <w:sz w:val="28"/>
          <w:szCs w:val="28"/>
        </w:rPr>
        <w:t>at 1183.  Thus, the Court concluded, “</w:t>
      </w:r>
      <w:r w:rsidR="001747C9" w:rsidRPr="001747C9">
        <w:rPr>
          <w:b/>
          <w:sz w:val="28"/>
          <w:szCs w:val="28"/>
        </w:rPr>
        <w:t>Nava’s affidavits unequivocally show that Nava ratified and endorsed Kumar’s action in brin</w:t>
      </w:r>
      <w:r w:rsidR="001747C9">
        <w:rPr>
          <w:b/>
          <w:sz w:val="28"/>
          <w:szCs w:val="28"/>
        </w:rPr>
        <w:t>g</w:t>
      </w:r>
      <w:r w:rsidR="001747C9" w:rsidRPr="001747C9">
        <w:rPr>
          <w:b/>
          <w:sz w:val="28"/>
          <w:szCs w:val="28"/>
        </w:rPr>
        <w:t>ing suit on Nava’s behalf</w:t>
      </w:r>
      <w:r w:rsidR="001747C9">
        <w:rPr>
          <w:sz w:val="28"/>
          <w:szCs w:val="28"/>
        </w:rPr>
        <w:t xml:space="preserve">.”  </w:t>
      </w:r>
      <w:r w:rsidR="001747C9" w:rsidRPr="001747C9">
        <w:rPr>
          <w:i/>
          <w:sz w:val="28"/>
          <w:szCs w:val="28"/>
        </w:rPr>
        <w:t>Id.</w:t>
      </w:r>
      <w:r w:rsidR="001747C9">
        <w:rPr>
          <w:sz w:val="28"/>
          <w:szCs w:val="28"/>
        </w:rPr>
        <w:t xml:space="preserve"> at 1185.  (Bold emphasis added).</w:t>
      </w:r>
    </w:p>
    <w:p w:rsidR="001747C9" w:rsidRDefault="001747C9" w:rsidP="00F46485">
      <w:pPr>
        <w:spacing w:line="480" w:lineRule="auto"/>
        <w:jc w:val="both"/>
        <w:rPr>
          <w:sz w:val="28"/>
          <w:szCs w:val="28"/>
        </w:rPr>
      </w:pPr>
      <w:r>
        <w:rPr>
          <w:sz w:val="28"/>
          <w:szCs w:val="28"/>
        </w:rPr>
        <w:tab/>
        <w:t xml:space="preserve">At </w:t>
      </w:r>
      <w:r w:rsidR="0037670C">
        <w:rPr>
          <w:sz w:val="28"/>
          <w:szCs w:val="28"/>
        </w:rPr>
        <w:t>the trial below</w:t>
      </w:r>
      <w:r>
        <w:rPr>
          <w:sz w:val="28"/>
          <w:szCs w:val="28"/>
        </w:rPr>
        <w:t xml:space="preserve">, however, </w:t>
      </w:r>
      <w:r w:rsidR="00387F64">
        <w:rPr>
          <w:sz w:val="28"/>
          <w:szCs w:val="28"/>
        </w:rPr>
        <w:t>RCS</w:t>
      </w:r>
      <w:r>
        <w:rPr>
          <w:sz w:val="28"/>
          <w:szCs w:val="28"/>
        </w:rPr>
        <w:t xml:space="preserve"> failed to procure even a scintilla of evidence that its undisclosed principal ratified and endorsed </w:t>
      </w:r>
      <w:r w:rsidR="00387F64">
        <w:rPr>
          <w:sz w:val="28"/>
          <w:szCs w:val="28"/>
        </w:rPr>
        <w:t>RCS</w:t>
      </w:r>
      <w:r>
        <w:rPr>
          <w:sz w:val="28"/>
          <w:szCs w:val="28"/>
        </w:rPr>
        <w:t xml:space="preserve">’s (and AHMSI’s) action in bringing suit on its behalf.  In fact, when questioned regarding how AHMSI “serviced” the note and mortgage, the AHMSI witness merely replied that the company serviced through a servicing contract </w:t>
      </w:r>
      <w:r w:rsidRPr="001747C9">
        <w:rPr>
          <w:b/>
          <w:sz w:val="28"/>
          <w:szCs w:val="28"/>
        </w:rPr>
        <w:t>which the witness had not even read</w:t>
      </w:r>
      <w:r w:rsidR="0037670C">
        <w:rPr>
          <w:sz w:val="28"/>
          <w:szCs w:val="28"/>
        </w:rPr>
        <w:t>.  [T. 63]</w:t>
      </w:r>
      <w:r>
        <w:rPr>
          <w:sz w:val="28"/>
          <w:szCs w:val="28"/>
        </w:rPr>
        <w:t xml:space="preserve">.  </w:t>
      </w:r>
      <w:r w:rsidR="0037670C">
        <w:rPr>
          <w:sz w:val="28"/>
          <w:szCs w:val="28"/>
        </w:rPr>
        <w:t>Even more astonishingly</w:t>
      </w:r>
      <w:r>
        <w:rPr>
          <w:sz w:val="28"/>
          <w:szCs w:val="28"/>
        </w:rPr>
        <w:t xml:space="preserve">, </w:t>
      </w:r>
      <w:r w:rsidR="00387F64">
        <w:rPr>
          <w:sz w:val="28"/>
          <w:szCs w:val="28"/>
        </w:rPr>
        <w:t>RCS</w:t>
      </w:r>
      <w:r>
        <w:rPr>
          <w:sz w:val="28"/>
          <w:szCs w:val="28"/>
        </w:rPr>
        <w:t xml:space="preserve">’s own counsel </w:t>
      </w:r>
      <w:r w:rsidR="0037670C">
        <w:rPr>
          <w:sz w:val="28"/>
          <w:szCs w:val="28"/>
        </w:rPr>
        <w:t>represented</w:t>
      </w:r>
      <w:r w:rsidR="00042F2C">
        <w:rPr>
          <w:sz w:val="28"/>
          <w:szCs w:val="28"/>
        </w:rPr>
        <w:t xml:space="preserve"> to the trial court that it was unable to either elicit testimony from </w:t>
      </w:r>
      <w:r w:rsidR="00387F64">
        <w:rPr>
          <w:sz w:val="28"/>
          <w:szCs w:val="28"/>
        </w:rPr>
        <w:t>RCS</w:t>
      </w:r>
      <w:r w:rsidR="00042F2C">
        <w:rPr>
          <w:sz w:val="28"/>
          <w:szCs w:val="28"/>
        </w:rPr>
        <w:t xml:space="preserve">’s principal or introduce the servicing agreement which might permit </w:t>
      </w:r>
      <w:r w:rsidR="00387F64">
        <w:rPr>
          <w:sz w:val="28"/>
          <w:szCs w:val="28"/>
        </w:rPr>
        <w:t>RCS</w:t>
      </w:r>
      <w:r w:rsidR="00042F2C">
        <w:rPr>
          <w:sz w:val="28"/>
          <w:szCs w:val="28"/>
        </w:rPr>
        <w:t xml:space="preserve"> to bring the a</w:t>
      </w:r>
      <w:r w:rsidR="0037670C">
        <w:rPr>
          <w:sz w:val="28"/>
          <w:szCs w:val="28"/>
        </w:rPr>
        <w:t>ction on its principal’s behalf</w:t>
      </w:r>
      <w:r w:rsidR="001300CB">
        <w:rPr>
          <w:sz w:val="28"/>
          <w:szCs w:val="28"/>
        </w:rPr>
        <w:t>.</w:t>
      </w:r>
      <w:r w:rsidR="00042F2C">
        <w:rPr>
          <w:sz w:val="28"/>
          <w:szCs w:val="28"/>
        </w:rPr>
        <w:t xml:space="preserve">  </w:t>
      </w:r>
      <w:r w:rsidR="0037670C">
        <w:rPr>
          <w:sz w:val="28"/>
          <w:szCs w:val="28"/>
        </w:rPr>
        <w:t>[T. 66].</w:t>
      </w:r>
    </w:p>
    <w:p w:rsidR="00042F2C" w:rsidRPr="005312B9" w:rsidRDefault="00042F2C" w:rsidP="00F46485">
      <w:pPr>
        <w:spacing w:line="480" w:lineRule="auto"/>
        <w:jc w:val="both"/>
        <w:rPr>
          <w:sz w:val="28"/>
          <w:szCs w:val="28"/>
        </w:rPr>
      </w:pPr>
      <w:r>
        <w:rPr>
          <w:sz w:val="28"/>
          <w:szCs w:val="28"/>
        </w:rPr>
        <w:lastRenderedPageBreak/>
        <w:tab/>
        <w:t xml:space="preserve">Therefore, because there was absolutely no evidence introduced at the trial that </w:t>
      </w:r>
      <w:r w:rsidR="00387F64">
        <w:rPr>
          <w:sz w:val="28"/>
          <w:szCs w:val="28"/>
        </w:rPr>
        <w:t>RCS</w:t>
      </w:r>
      <w:r>
        <w:rPr>
          <w:sz w:val="28"/>
          <w:szCs w:val="28"/>
        </w:rPr>
        <w:t xml:space="preserve">’s principal joined in or ratified its act of suing in the principal’s name, </w:t>
      </w:r>
      <w:r w:rsidR="00387F64">
        <w:rPr>
          <w:sz w:val="28"/>
          <w:szCs w:val="28"/>
        </w:rPr>
        <w:t>RCS</w:t>
      </w:r>
      <w:r>
        <w:rPr>
          <w:sz w:val="28"/>
          <w:szCs w:val="28"/>
        </w:rPr>
        <w:t xml:space="preserve"> failed to prove it had standing to sue.</w:t>
      </w:r>
    </w:p>
    <w:p w:rsidR="005B35B3" w:rsidRDefault="002104E6" w:rsidP="00FC3056">
      <w:pPr>
        <w:pStyle w:val="ListParagraph"/>
        <w:numPr>
          <w:ilvl w:val="0"/>
          <w:numId w:val="2"/>
        </w:numPr>
        <w:spacing w:line="240" w:lineRule="auto"/>
        <w:jc w:val="both"/>
        <w:rPr>
          <w:b/>
          <w:sz w:val="28"/>
          <w:szCs w:val="28"/>
        </w:rPr>
      </w:pPr>
      <w:r>
        <w:rPr>
          <w:b/>
          <w:sz w:val="28"/>
          <w:szCs w:val="28"/>
        </w:rPr>
        <w:t xml:space="preserve">Because the promissory note is not negotiable, </w:t>
      </w:r>
      <w:r w:rsidR="00387F64">
        <w:rPr>
          <w:b/>
          <w:sz w:val="28"/>
          <w:szCs w:val="28"/>
        </w:rPr>
        <w:t>RCS</w:t>
      </w:r>
      <w:r>
        <w:rPr>
          <w:b/>
          <w:sz w:val="28"/>
          <w:szCs w:val="28"/>
        </w:rPr>
        <w:t xml:space="preserve">’s mere possession alone </w:t>
      </w:r>
      <w:r w:rsidR="00E64C40">
        <w:rPr>
          <w:b/>
          <w:sz w:val="28"/>
          <w:szCs w:val="28"/>
        </w:rPr>
        <w:t>did not confer onto it standing to sue</w:t>
      </w:r>
    </w:p>
    <w:p w:rsidR="00FC3056" w:rsidRDefault="00FC3056" w:rsidP="00FC3056">
      <w:pPr>
        <w:pStyle w:val="ListParagraph"/>
        <w:spacing w:line="240" w:lineRule="auto"/>
        <w:ind w:left="1440"/>
        <w:jc w:val="both"/>
        <w:rPr>
          <w:b/>
          <w:sz w:val="28"/>
          <w:szCs w:val="28"/>
        </w:rPr>
      </w:pPr>
    </w:p>
    <w:p w:rsidR="002104E6" w:rsidRDefault="005B35B3" w:rsidP="005B35B3">
      <w:pPr>
        <w:spacing w:line="480" w:lineRule="auto"/>
        <w:jc w:val="both"/>
        <w:rPr>
          <w:sz w:val="28"/>
          <w:szCs w:val="28"/>
        </w:rPr>
      </w:pPr>
      <w:r>
        <w:rPr>
          <w:sz w:val="28"/>
          <w:szCs w:val="28"/>
        </w:rPr>
        <w:tab/>
      </w:r>
      <w:r w:rsidR="00387F64">
        <w:rPr>
          <w:sz w:val="28"/>
          <w:szCs w:val="28"/>
        </w:rPr>
        <w:t>RCS</w:t>
      </w:r>
      <w:r>
        <w:rPr>
          <w:sz w:val="28"/>
          <w:szCs w:val="28"/>
        </w:rPr>
        <w:t xml:space="preserve"> will probably assert that its possession of the promissory note “endorsed” in blank conferred onto it st</w:t>
      </w:r>
      <w:r w:rsidR="00E11828">
        <w:rPr>
          <w:sz w:val="28"/>
          <w:szCs w:val="28"/>
        </w:rPr>
        <w:t xml:space="preserve">anding </w:t>
      </w:r>
      <w:r w:rsidR="000C780B">
        <w:rPr>
          <w:sz w:val="28"/>
          <w:szCs w:val="28"/>
        </w:rPr>
        <w:t xml:space="preserve">to foreclose the mortgage </w:t>
      </w:r>
      <w:r w:rsidR="00E11828">
        <w:rPr>
          <w:sz w:val="28"/>
          <w:szCs w:val="28"/>
        </w:rPr>
        <w:t xml:space="preserve">citing </w:t>
      </w:r>
      <w:r w:rsidR="00E11828" w:rsidRPr="00E11828">
        <w:rPr>
          <w:i/>
          <w:sz w:val="28"/>
          <w:szCs w:val="28"/>
        </w:rPr>
        <w:t>Riggs v. Aurora Loan Services, LLC,</w:t>
      </w:r>
      <w:r w:rsidR="00E11828">
        <w:rPr>
          <w:sz w:val="28"/>
          <w:szCs w:val="28"/>
        </w:rPr>
        <w:t xml:space="preserve"> </w:t>
      </w:r>
      <w:r w:rsidR="00E11828" w:rsidRPr="00E11828">
        <w:rPr>
          <w:sz w:val="28"/>
          <w:szCs w:val="28"/>
        </w:rPr>
        <w:t>36 So.3d 932 (</w:t>
      </w:r>
      <w:r w:rsidR="00E11828">
        <w:rPr>
          <w:sz w:val="28"/>
          <w:szCs w:val="28"/>
        </w:rPr>
        <w:t xml:space="preserve">Fla. 4th DCA </w:t>
      </w:r>
      <w:r w:rsidR="00E11828" w:rsidRPr="00E11828">
        <w:rPr>
          <w:sz w:val="28"/>
          <w:szCs w:val="28"/>
        </w:rPr>
        <w:t>2010)</w:t>
      </w:r>
      <w:r w:rsidR="00E11828">
        <w:rPr>
          <w:sz w:val="28"/>
          <w:szCs w:val="28"/>
        </w:rPr>
        <w:t xml:space="preserve"> and its progeny.  While </w:t>
      </w:r>
      <w:r w:rsidR="00E11828" w:rsidRPr="00E11828">
        <w:rPr>
          <w:i/>
          <w:sz w:val="28"/>
          <w:szCs w:val="28"/>
        </w:rPr>
        <w:t>Riggs</w:t>
      </w:r>
      <w:r w:rsidR="00E11828">
        <w:rPr>
          <w:sz w:val="28"/>
          <w:szCs w:val="28"/>
        </w:rPr>
        <w:t xml:space="preserve"> and other appellate decisions seem to suggest that all mortgage promissory notes are negotiable instruments, </w:t>
      </w:r>
      <w:r w:rsidR="00E11828">
        <w:rPr>
          <w:i/>
          <w:sz w:val="28"/>
          <w:szCs w:val="28"/>
        </w:rPr>
        <w:t xml:space="preserve">see e.g. </w:t>
      </w:r>
      <w:r w:rsidR="00E11828" w:rsidRPr="00E11828">
        <w:rPr>
          <w:i/>
          <w:sz w:val="28"/>
          <w:szCs w:val="28"/>
        </w:rPr>
        <w:t xml:space="preserve">Taylor v. Deutsche Bank National Trust Company, </w:t>
      </w:r>
      <w:r w:rsidR="00FC3056">
        <w:rPr>
          <w:sz w:val="28"/>
          <w:szCs w:val="28"/>
        </w:rPr>
        <w:t>44 So. 3d 618</w:t>
      </w:r>
      <w:r w:rsidR="000C780B">
        <w:rPr>
          <w:sz w:val="28"/>
          <w:szCs w:val="28"/>
        </w:rPr>
        <w:t xml:space="preserve">, </w:t>
      </w:r>
      <w:r w:rsidR="000C780B" w:rsidRPr="000C780B">
        <w:rPr>
          <w:sz w:val="28"/>
          <w:szCs w:val="28"/>
        </w:rPr>
        <w:t>622 (Fla. 5th DCA 2010) (providing that “a promissory note is a negotiable instrument”)</w:t>
      </w:r>
      <w:r w:rsidR="00FC3056">
        <w:rPr>
          <w:sz w:val="28"/>
          <w:szCs w:val="28"/>
        </w:rPr>
        <w:t xml:space="preserve">; </w:t>
      </w:r>
      <w:r w:rsidR="00E11828" w:rsidRPr="00FC3056">
        <w:rPr>
          <w:i/>
          <w:sz w:val="28"/>
          <w:szCs w:val="28"/>
        </w:rPr>
        <w:t>Perry v. Fairbanks</w:t>
      </w:r>
      <w:r w:rsidR="00E11828" w:rsidRPr="00FC3056">
        <w:rPr>
          <w:sz w:val="28"/>
          <w:szCs w:val="28"/>
        </w:rPr>
        <w:t>, 888 So. 2d 727</w:t>
      </w:r>
      <w:r w:rsidR="000C780B">
        <w:rPr>
          <w:sz w:val="28"/>
          <w:szCs w:val="28"/>
        </w:rPr>
        <w:t xml:space="preserve">, </w:t>
      </w:r>
      <w:r w:rsidR="000C780B" w:rsidRPr="000C780B">
        <w:rPr>
          <w:sz w:val="28"/>
          <w:szCs w:val="28"/>
        </w:rPr>
        <w:t>727 (Fla. 5th DCA 2004) (stating that “[a] promissory note is clearly a negotiable instrument within the definition of section 673.1041(1)”</w:t>
      </w:r>
      <w:r w:rsidR="000C780B">
        <w:rPr>
          <w:sz w:val="28"/>
          <w:szCs w:val="28"/>
        </w:rPr>
        <w:t>)</w:t>
      </w:r>
      <w:r w:rsidR="00FC3056">
        <w:rPr>
          <w:sz w:val="28"/>
          <w:szCs w:val="28"/>
        </w:rPr>
        <w:t>, negotiability appears to be an issue which is never preserved for appeal by defending homeowners in the trial court.</w:t>
      </w:r>
    </w:p>
    <w:p w:rsidR="00FC3056" w:rsidRDefault="00FC3056" w:rsidP="005B35B3">
      <w:pPr>
        <w:spacing w:line="480" w:lineRule="auto"/>
        <w:jc w:val="both"/>
        <w:rPr>
          <w:sz w:val="28"/>
          <w:szCs w:val="28"/>
        </w:rPr>
      </w:pPr>
      <w:r>
        <w:rPr>
          <w:sz w:val="28"/>
          <w:szCs w:val="28"/>
        </w:rPr>
        <w:tab/>
        <w:t xml:space="preserve">In fact, </w:t>
      </w:r>
      <w:r w:rsidR="000C780B">
        <w:rPr>
          <w:sz w:val="28"/>
          <w:szCs w:val="28"/>
        </w:rPr>
        <w:t xml:space="preserve">there are </w:t>
      </w:r>
      <w:r w:rsidRPr="00FC3056">
        <w:rPr>
          <w:sz w:val="28"/>
          <w:szCs w:val="28"/>
        </w:rPr>
        <w:t xml:space="preserve">only forty-two cases decided over the past twenty years in the entire United States in which a decision was “reached on the merits” regarding the negotiability of a mortgage note.  Dale A. Whitman, </w:t>
      </w:r>
      <w:r w:rsidRPr="00FC3056">
        <w:rPr>
          <w:i/>
          <w:sz w:val="28"/>
          <w:szCs w:val="28"/>
        </w:rPr>
        <w:t>How Negotiability Has Fouled Up the Secondary Mortgage Market, and What to Do About it</w:t>
      </w:r>
      <w:r w:rsidRPr="00FC3056">
        <w:rPr>
          <w:sz w:val="28"/>
          <w:szCs w:val="28"/>
        </w:rPr>
        <w:t xml:space="preserve">, 37 Pepp. L. </w:t>
      </w:r>
      <w:r w:rsidRPr="00FC3056">
        <w:rPr>
          <w:sz w:val="28"/>
          <w:szCs w:val="28"/>
        </w:rPr>
        <w:lastRenderedPageBreak/>
        <w:t>Rv. 737</w:t>
      </w:r>
      <w:r>
        <w:rPr>
          <w:sz w:val="28"/>
          <w:szCs w:val="28"/>
        </w:rPr>
        <w:t>, 754</w:t>
      </w:r>
      <w:r w:rsidRPr="00FC3056">
        <w:rPr>
          <w:sz w:val="28"/>
          <w:szCs w:val="28"/>
        </w:rPr>
        <w:t xml:space="preserve"> (2010).</w:t>
      </w:r>
      <w:r>
        <w:rPr>
          <w:sz w:val="28"/>
          <w:szCs w:val="28"/>
        </w:rPr>
        <w:t xml:space="preserve">  </w:t>
      </w:r>
      <w:r w:rsidRPr="00FC3056">
        <w:rPr>
          <w:sz w:val="28"/>
          <w:szCs w:val="28"/>
        </w:rPr>
        <w:t xml:space="preserve">Even more shocking, </w:t>
      </w:r>
      <w:r>
        <w:rPr>
          <w:sz w:val="28"/>
          <w:szCs w:val="28"/>
        </w:rPr>
        <w:t xml:space="preserve">in </w:t>
      </w:r>
      <w:r w:rsidRPr="00FC3056">
        <w:rPr>
          <w:sz w:val="28"/>
          <w:szCs w:val="28"/>
        </w:rPr>
        <w:t xml:space="preserve">only two of those forty-two cases </w:t>
      </w:r>
      <w:r>
        <w:rPr>
          <w:sz w:val="28"/>
          <w:szCs w:val="28"/>
        </w:rPr>
        <w:t>did “the court provide</w:t>
      </w:r>
      <w:r w:rsidRPr="00FC3056">
        <w:rPr>
          <w:sz w:val="28"/>
          <w:szCs w:val="28"/>
        </w:rPr>
        <w:t xml:space="preserve"> a thorough analysis of the negotiability of the note!”  </w:t>
      </w:r>
      <w:r w:rsidRPr="00FC3056">
        <w:rPr>
          <w:i/>
          <w:sz w:val="28"/>
          <w:szCs w:val="28"/>
        </w:rPr>
        <w:t>Id.</w:t>
      </w:r>
      <w:r w:rsidRPr="00FC3056">
        <w:rPr>
          <w:sz w:val="28"/>
          <w:szCs w:val="28"/>
        </w:rPr>
        <w:t xml:space="preserve"> </w:t>
      </w:r>
    </w:p>
    <w:p w:rsidR="00FC3056" w:rsidRPr="00FC3056" w:rsidRDefault="00FC3056" w:rsidP="005B35B3">
      <w:pPr>
        <w:spacing w:line="480" w:lineRule="auto"/>
        <w:jc w:val="both"/>
        <w:rPr>
          <w:b/>
          <w:sz w:val="28"/>
          <w:szCs w:val="28"/>
        </w:rPr>
      </w:pPr>
      <w:r>
        <w:rPr>
          <w:sz w:val="28"/>
          <w:szCs w:val="28"/>
        </w:rPr>
        <w:tab/>
        <w:t xml:space="preserve">Nevertheless, Homeowners have preserved the issue of the note’s negotiability through </w:t>
      </w:r>
      <w:r w:rsidR="000C780B">
        <w:rPr>
          <w:sz w:val="28"/>
          <w:szCs w:val="28"/>
        </w:rPr>
        <w:t>questioning negotiability in their</w:t>
      </w:r>
      <w:r>
        <w:rPr>
          <w:sz w:val="28"/>
          <w:szCs w:val="28"/>
        </w:rPr>
        <w:t xml:space="preserve"> </w:t>
      </w:r>
      <w:r w:rsidR="000C780B">
        <w:rPr>
          <w:sz w:val="28"/>
          <w:szCs w:val="28"/>
        </w:rPr>
        <w:t>affirmative defenses</w:t>
      </w:r>
      <w:r>
        <w:rPr>
          <w:sz w:val="28"/>
          <w:szCs w:val="28"/>
        </w:rPr>
        <w:t xml:space="preserve"> </w:t>
      </w:r>
      <w:r w:rsidR="0037670C">
        <w:rPr>
          <w:sz w:val="28"/>
          <w:szCs w:val="28"/>
        </w:rPr>
        <w:t>[R. 238-239]</w:t>
      </w:r>
      <w:r>
        <w:rPr>
          <w:sz w:val="28"/>
          <w:szCs w:val="28"/>
        </w:rPr>
        <w:t xml:space="preserve"> and their counsel’s argument at trial </w:t>
      </w:r>
      <w:r w:rsidR="0037670C">
        <w:rPr>
          <w:sz w:val="28"/>
          <w:szCs w:val="28"/>
        </w:rPr>
        <w:t>[T. 103-104]</w:t>
      </w:r>
      <w:r w:rsidR="000C780B">
        <w:rPr>
          <w:sz w:val="28"/>
          <w:szCs w:val="28"/>
        </w:rPr>
        <w:t xml:space="preserve">.  Consequently, </w:t>
      </w:r>
      <w:r w:rsidR="000C780B" w:rsidRPr="000C780B">
        <w:rPr>
          <w:sz w:val="28"/>
          <w:szCs w:val="28"/>
        </w:rPr>
        <w:t>“the rights of the parties must be determined by the character of the promissory note.</w:t>
      </w:r>
      <w:r w:rsidR="000C780B">
        <w:rPr>
          <w:sz w:val="28"/>
          <w:szCs w:val="28"/>
        </w:rPr>
        <w:t xml:space="preserve">”  </w:t>
      </w:r>
      <w:r w:rsidR="000C780B" w:rsidRPr="000C780B">
        <w:rPr>
          <w:i/>
          <w:sz w:val="28"/>
          <w:szCs w:val="28"/>
        </w:rPr>
        <w:t>American Bank of the South v. Rothenberg</w:t>
      </w:r>
      <w:r w:rsidR="000C780B" w:rsidRPr="000C780B">
        <w:rPr>
          <w:sz w:val="28"/>
          <w:szCs w:val="28"/>
        </w:rPr>
        <w:t>, 598 So. 2d 289</w:t>
      </w:r>
      <w:r w:rsidR="000C780B">
        <w:rPr>
          <w:sz w:val="28"/>
          <w:szCs w:val="28"/>
        </w:rPr>
        <w:t xml:space="preserve">, 291 (Fla. </w:t>
      </w:r>
      <w:r w:rsidR="00824BD8">
        <w:rPr>
          <w:sz w:val="28"/>
          <w:szCs w:val="28"/>
        </w:rPr>
        <w:t>5th</w:t>
      </w:r>
      <w:r w:rsidR="000C780B">
        <w:rPr>
          <w:sz w:val="28"/>
          <w:szCs w:val="28"/>
        </w:rPr>
        <w:t xml:space="preserve"> </w:t>
      </w:r>
      <w:r w:rsidR="000C780B" w:rsidRPr="000C780B">
        <w:rPr>
          <w:sz w:val="28"/>
          <w:szCs w:val="28"/>
        </w:rPr>
        <w:t>DCA 1992)</w:t>
      </w:r>
      <w:r w:rsidR="000C780B">
        <w:rPr>
          <w:sz w:val="28"/>
          <w:szCs w:val="28"/>
        </w:rPr>
        <w:t xml:space="preserve">.  The character of the promissory note at issue below is non-negotiable because: (1) it contains instructions and undertakings other than the payment of money; and (2) incorporating the terms of the mortgage into the note because “the mortgage follows the note” destroys any negotiability the promissory note might have.  Because the note is non-negotiable, </w:t>
      </w:r>
      <w:r w:rsidR="00387F64">
        <w:rPr>
          <w:sz w:val="28"/>
          <w:szCs w:val="28"/>
        </w:rPr>
        <w:t>RCS</w:t>
      </w:r>
      <w:r w:rsidR="000C780B">
        <w:rPr>
          <w:sz w:val="28"/>
          <w:szCs w:val="28"/>
        </w:rPr>
        <w:t xml:space="preserve">’s mere possession of it could not confer standing to foreclose the mortgage.  </w:t>
      </w:r>
    </w:p>
    <w:p w:rsidR="00852C5A" w:rsidRDefault="00E64C40" w:rsidP="00852C5A">
      <w:pPr>
        <w:pStyle w:val="ListParagraph"/>
        <w:numPr>
          <w:ilvl w:val="0"/>
          <w:numId w:val="4"/>
        </w:numPr>
        <w:spacing w:line="240" w:lineRule="auto"/>
        <w:jc w:val="both"/>
        <w:rPr>
          <w:b/>
          <w:sz w:val="28"/>
          <w:szCs w:val="28"/>
        </w:rPr>
      </w:pPr>
      <w:r>
        <w:rPr>
          <w:b/>
          <w:sz w:val="28"/>
          <w:szCs w:val="28"/>
        </w:rPr>
        <w:t>The promissory note contains instructions and undertakings other than the payment of money</w:t>
      </w:r>
    </w:p>
    <w:p w:rsidR="00824BD8" w:rsidRPr="001300CB" w:rsidRDefault="00824BD8" w:rsidP="00824BD8">
      <w:pPr>
        <w:pStyle w:val="ListParagraph"/>
        <w:spacing w:line="240" w:lineRule="auto"/>
        <w:ind w:left="2160"/>
        <w:jc w:val="both"/>
        <w:rPr>
          <w:b/>
          <w:sz w:val="28"/>
          <w:szCs w:val="28"/>
        </w:rPr>
      </w:pPr>
    </w:p>
    <w:p w:rsidR="009216B5" w:rsidRPr="009216B5" w:rsidRDefault="00852C5A" w:rsidP="009216B5">
      <w:pPr>
        <w:spacing w:line="480" w:lineRule="auto"/>
        <w:jc w:val="both"/>
        <w:rPr>
          <w:sz w:val="28"/>
          <w:szCs w:val="28"/>
        </w:rPr>
      </w:pPr>
      <w:r>
        <w:rPr>
          <w:sz w:val="28"/>
          <w:szCs w:val="28"/>
        </w:rPr>
        <w:tab/>
      </w:r>
      <w:r w:rsidR="0037670C">
        <w:rPr>
          <w:sz w:val="28"/>
          <w:szCs w:val="28"/>
        </w:rPr>
        <w:t>Since</w:t>
      </w:r>
      <w:r>
        <w:rPr>
          <w:sz w:val="28"/>
          <w:szCs w:val="28"/>
        </w:rPr>
        <w:t xml:space="preserve"> the law of negotiability has been codified by the Florida legislature in Fla. Stat. §673, </w:t>
      </w:r>
      <w:r w:rsidRPr="00852C5A">
        <w:rPr>
          <w:i/>
          <w:sz w:val="28"/>
          <w:szCs w:val="28"/>
        </w:rPr>
        <w:t>et seq.</w:t>
      </w:r>
      <w:r>
        <w:rPr>
          <w:sz w:val="28"/>
          <w:szCs w:val="28"/>
        </w:rPr>
        <w:t>, the analysis begins with the plain language of th</w:t>
      </w:r>
      <w:r w:rsidR="009216B5">
        <w:rPr>
          <w:sz w:val="28"/>
          <w:szCs w:val="28"/>
        </w:rPr>
        <w:t xml:space="preserve">e statute.  </w:t>
      </w:r>
      <w:r w:rsidR="0037670C">
        <w:rPr>
          <w:sz w:val="28"/>
          <w:szCs w:val="28"/>
        </w:rPr>
        <w:tab/>
      </w:r>
      <w:r w:rsidR="009216B5">
        <w:rPr>
          <w:sz w:val="28"/>
          <w:szCs w:val="28"/>
        </w:rPr>
        <w:t xml:space="preserve">Section 673.1041(1), Florida Statutes, provides </w:t>
      </w:r>
      <w:r w:rsidR="009216B5" w:rsidRPr="009216B5">
        <w:rPr>
          <w:sz w:val="28"/>
          <w:szCs w:val="28"/>
        </w:rPr>
        <w:t>the definition of a negotiable instrume</w:t>
      </w:r>
      <w:r w:rsidR="009216B5">
        <w:rPr>
          <w:sz w:val="28"/>
          <w:szCs w:val="28"/>
        </w:rPr>
        <w:t>nt and</w:t>
      </w:r>
      <w:r w:rsidR="009216B5" w:rsidRPr="009216B5">
        <w:rPr>
          <w:sz w:val="28"/>
          <w:szCs w:val="28"/>
        </w:rPr>
        <w:t xml:space="preserve"> begins by asserting that an instrument is negotiable if it is “an unconditional promise or order to pay a fixed amount of money, with or without </w:t>
      </w:r>
      <w:r w:rsidR="009216B5" w:rsidRPr="009216B5">
        <w:rPr>
          <w:sz w:val="28"/>
          <w:szCs w:val="28"/>
        </w:rPr>
        <w:lastRenderedPageBreak/>
        <w:t>interest or other charges described in the promise or order.”</w:t>
      </w:r>
      <w:r w:rsidR="009216B5">
        <w:rPr>
          <w:sz w:val="28"/>
          <w:szCs w:val="28"/>
        </w:rPr>
        <w:t xml:space="preserve">  </w:t>
      </w:r>
      <w:r w:rsidR="009216B5" w:rsidRPr="009216B5">
        <w:rPr>
          <w:sz w:val="28"/>
          <w:szCs w:val="28"/>
        </w:rPr>
        <w:t>In addition, the instrument must also meet the three following prerequisites:</w:t>
      </w:r>
    </w:p>
    <w:p w:rsidR="009216B5" w:rsidRPr="009216B5" w:rsidRDefault="009216B5" w:rsidP="009216B5">
      <w:pPr>
        <w:pStyle w:val="ListParagraph"/>
        <w:numPr>
          <w:ilvl w:val="0"/>
          <w:numId w:val="6"/>
        </w:numPr>
        <w:spacing w:line="480" w:lineRule="auto"/>
        <w:jc w:val="both"/>
        <w:rPr>
          <w:sz w:val="28"/>
          <w:szCs w:val="28"/>
        </w:rPr>
      </w:pPr>
      <w:r w:rsidRPr="009216B5">
        <w:rPr>
          <w:sz w:val="28"/>
          <w:szCs w:val="28"/>
        </w:rPr>
        <w:t>First, the instrument must be “payable to bearer or to order at the time it is issued or first comes into possession of a holder.”  §673.1041(1)(a);</w:t>
      </w:r>
    </w:p>
    <w:p w:rsidR="009216B5" w:rsidRDefault="009216B5" w:rsidP="009216B5">
      <w:pPr>
        <w:pStyle w:val="ListParagraph"/>
        <w:numPr>
          <w:ilvl w:val="0"/>
          <w:numId w:val="6"/>
        </w:numPr>
        <w:spacing w:line="480" w:lineRule="auto"/>
        <w:jc w:val="both"/>
        <w:rPr>
          <w:sz w:val="28"/>
          <w:szCs w:val="28"/>
        </w:rPr>
      </w:pPr>
      <w:r w:rsidRPr="009216B5">
        <w:rPr>
          <w:sz w:val="28"/>
          <w:szCs w:val="28"/>
        </w:rPr>
        <w:t>Second, the instrument must be “payable on demand or at a definite time.”  §673.1041(1)(b); and</w:t>
      </w:r>
    </w:p>
    <w:p w:rsidR="009216B5" w:rsidRDefault="009216B5" w:rsidP="009216B5">
      <w:pPr>
        <w:pStyle w:val="ListParagraph"/>
        <w:numPr>
          <w:ilvl w:val="0"/>
          <w:numId w:val="6"/>
        </w:numPr>
        <w:spacing w:line="480" w:lineRule="auto"/>
        <w:jc w:val="both"/>
        <w:rPr>
          <w:sz w:val="28"/>
          <w:szCs w:val="28"/>
        </w:rPr>
      </w:pPr>
      <w:r w:rsidRPr="009216B5">
        <w:rPr>
          <w:sz w:val="28"/>
          <w:szCs w:val="28"/>
        </w:rPr>
        <w:t>Third, the instrument must not “state any other undertaking or instruction by the person promising or ordering payment to do any act in addition to the payment of money.”  §673.1041(1)(c).</w:t>
      </w:r>
    </w:p>
    <w:p w:rsidR="001F7B2C" w:rsidRDefault="009216B5" w:rsidP="001F7B2C">
      <w:pPr>
        <w:spacing w:line="480" w:lineRule="auto"/>
        <w:jc w:val="both"/>
        <w:rPr>
          <w:i/>
          <w:sz w:val="28"/>
          <w:szCs w:val="28"/>
        </w:rPr>
      </w:pPr>
      <w:r>
        <w:rPr>
          <w:sz w:val="28"/>
          <w:szCs w:val="28"/>
        </w:rPr>
        <w:tab/>
      </w:r>
      <w:r w:rsidR="00337781">
        <w:rPr>
          <w:sz w:val="28"/>
          <w:szCs w:val="28"/>
        </w:rPr>
        <w:t xml:space="preserve">In </w:t>
      </w:r>
      <w:r w:rsidR="00337781" w:rsidRPr="00337781">
        <w:rPr>
          <w:i/>
          <w:sz w:val="28"/>
          <w:szCs w:val="28"/>
        </w:rPr>
        <w:t>GMAC v. Honest Air Conditioning &amp; Heating, Inc.</w:t>
      </w:r>
      <w:r w:rsidR="00337781" w:rsidRPr="00337781">
        <w:rPr>
          <w:sz w:val="28"/>
          <w:szCs w:val="28"/>
        </w:rPr>
        <w:t>, 933 So. 2d 34 (Fla. 2d DCA 2006</w:t>
      </w:r>
      <w:r w:rsidR="00824BD8">
        <w:rPr>
          <w:sz w:val="28"/>
          <w:szCs w:val="28"/>
        </w:rPr>
        <w:t>)</w:t>
      </w:r>
      <w:r w:rsidR="00337781">
        <w:rPr>
          <w:sz w:val="28"/>
          <w:szCs w:val="28"/>
        </w:rPr>
        <w:t xml:space="preserve"> this Court</w:t>
      </w:r>
      <w:r w:rsidR="00337781" w:rsidRPr="00337781">
        <w:rPr>
          <w:sz w:val="28"/>
          <w:szCs w:val="28"/>
        </w:rPr>
        <w:t xml:space="preserve"> </w:t>
      </w:r>
      <w:r w:rsidR="001F7B2C">
        <w:rPr>
          <w:sz w:val="28"/>
          <w:szCs w:val="28"/>
        </w:rPr>
        <w:t>held</w:t>
      </w:r>
      <w:r w:rsidR="00337781" w:rsidRPr="00337781">
        <w:rPr>
          <w:sz w:val="28"/>
          <w:szCs w:val="28"/>
        </w:rPr>
        <w:t xml:space="preserve"> that “the trial court erred in finding that the [retail installment sales contra</w:t>
      </w:r>
      <w:r w:rsidR="00337781">
        <w:rPr>
          <w:sz w:val="28"/>
          <w:szCs w:val="28"/>
        </w:rPr>
        <w:t>ct]</w:t>
      </w:r>
      <w:r w:rsidR="001F7B2C">
        <w:rPr>
          <w:sz w:val="28"/>
          <w:szCs w:val="28"/>
        </w:rPr>
        <w:t xml:space="preserve"> (“RISC”)</w:t>
      </w:r>
      <w:r w:rsidR="00337781">
        <w:rPr>
          <w:sz w:val="28"/>
          <w:szCs w:val="28"/>
        </w:rPr>
        <w:t xml:space="preserve"> was a negotiable instrument.</w:t>
      </w:r>
      <w:r w:rsidR="00337781" w:rsidRPr="00337781">
        <w:rPr>
          <w:sz w:val="28"/>
          <w:szCs w:val="28"/>
        </w:rPr>
        <w:t xml:space="preserve">”  </w:t>
      </w:r>
      <w:r w:rsidR="00337781" w:rsidRPr="00337781">
        <w:rPr>
          <w:i/>
          <w:sz w:val="28"/>
          <w:szCs w:val="28"/>
        </w:rPr>
        <w:t>Id.</w:t>
      </w:r>
      <w:r w:rsidR="00337781" w:rsidRPr="00337781">
        <w:rPr>
          <w:sz w:val="28"/>
          <w:szCs w:val="28"/>
        </w:rPr>
        <w:t xml:space="preserve"> at 35.</w:t>
      </w:r>
      <w:r w:rsidR="00337781">
        <w:rPr>
          <w:sz w:val="28"/>
          <w:szCs w:val="28"/>
        </w:rPr>
        <w:t xml:space="preserve">  There, this Court found that the contract at issue contained various instructions and undertakings on both the person order and promising payment to do some act other than the payment of money, including</w:t>
      </w:r>
      <w:r w:rsidR="00337781" w:rsidRPr="00337781">
        <w:rPr>
          <w:sz w:val="28"/>
          <w:szCs w:val="28"/>
        </w:rPr>
        <w:t xml:space="preserve">: (1) an instruction onto the debtor to not remove the vehicle from the United States; (2) an instruction onto the debtor to reimburse advances made by the creditor in payment of repair or storage bills; and (3) an instruction onto the creditor to dispose of the collateral in certain ways following repossession.  </w:t>
      </w:r>
      <w:r w:rsidR="00337781" w:rsidRPr="00337781">
        <w:rPr>
          <w:i/>
          <w:sz w:val="28"/>
          <w:szCs w:val="28"/>
        </w:rPr>
        <w:t>Id.</w:t>
      </w:r>
      <w:r w:rsidR="00337781" w:rsidRPr="00337781">
        <w:rPr>
          <w:sz w:val="28"/>
          <w:szCs w:val="28"/>
        </w:rPr>
        <w:t xml:space="preserve"> at 37. </w:t>
      </w:r>
      <w:r w:rsidRPr="00337781">
        <w:rPr>
          <w:sz w:val="28"/>
          <w:szCs w:val="28"/>
        </w:rPr>
        <w:t xml:space="preserve">   </w:t>
      </w:r>
      <w:r w:rsidR="001F7B2C">
        <w:rPr>
          <w:sz w:val="28"/>
          <w:szCs w:val="28"/>
        </w:rPr>
        <w:t xml:space="preserve">Most notably for our purposes here, this Court </w:t>
      </w:r>
      <w:r w:rsidR="001F7B2C">
        <w:rPr>
          <w:sz w:val="28"/>
          <w:szCs w:val="28"/>
        </w:rPr>
        <w:lastRenderedPageBreak/>
        <w:t xml:space="preserve">found that the RISC in </w:t>
      </w:r>
      <w:r w:rsidR="001F7B2C">
        <w:rPr>
          <w:i/>
          <w:sz w:val="28"/>
          <w:szCs w:val="28"/>
        </w:rPr>
        <w:t xml:space="preserve">Honest Air </w:t>
      </w:r>
      <w:r w:rsidR="001F7B2C" w:rsidRPr="001F7B2C">
        <w:rPr>
          <w:sz w:val="28"/>
          <w:szCs w:val="28"/>
        </w:rPr>
        <w:t xml:space="preserve">required the debtor to pay fees for late payment or dishonored checks.  </w:t>
      </w:r>
      <w:r w:rsidR="001F7B2C" w:rsidRPr="001F7B2C">
        <w:rPr>
          <w:i/>
          <w:sz w:val="28"/>
          <w:szCs w:val="28"/>
        </w:rPr>
        <w:t>Id.</w:t>
      </w:r>
    </w:p>
    <w:p w:rsidR="001F7B2C" w:rsidRDefault="001F7B2C" w:rsidP="001F7B2C">
      <w:pPr>
        <w:spacing w:line="480" w:lineRule="auto"/>
        <w:jc w:val="both"/>
        <w:rPr>
          <w:sz w:val="28"/>
          <w:szCs w:val="28"/>
        </w:rPr>
      </w:pPr>
      <w:r>
        <w:rPr>
          <w:sz w:val="28"/>
          <w:szCs w:val="28"/>
        </w:rPr>
        <w:tab/>
      </w:r>
      <w:r w:rsidRPr="001F7B2C">
        <w:rPr>
          <w:sz w:val="28"/>
          <w:szCs w:val="28"/>
        </w:rPr>
        <w:t xml:space="preserve">Ultimately, the </w:t>
      </w:r>
      <w:r w:rsidRPr="001F7B2C">
        <w:rPr>
          <w:i/>
          <w:sz w:val="28"/>
          <w:szCs w:val="28"/>
        </w:rPr>
        <w:t>Honest Air</w:t>
      </w:r>
      <w:r w:rsidRPr="001F7B2C">
        <w:rPr>
          <w:sz w:val="28"/>
          <w:szCs w:val="28"/>
        </w:rPr>
        <w:t xml:space="preserve"> Court concluded that these obligations “bring the RISC within the exclusionary language of section 673.1041(1)(c), which provides that a negotiable instrument ‘does not state any other undertakings’ in addition to the payment of money.”  </w:t>
      </w:r>
      <w:r w:rsidRPr="001F7B2C">
        <w:rPr>
          <w:i/>
          <w:sz w:val="28"/>
          <w:szCs w:val="28"/>
        </w:rPr>
        <w:t>Id</w:t>
      </w:r>
      <w:r w:rsidRPr="001F7B2C">
        <w:rPr>
          <w:sz w:val="28"/>
          <w:szCs w:val="28"/>
        </w:rPr>
        <w:t xml:space="preserve">.  The Court reasoned that this must be so because “[a] negotiable instrument should be ‘simple, certain, unconditional, and subject to no contingencies.  As some writers have said, it must be a courier without luggage.’”  </w:t>
      </w:r>
      <w:r w:rsidRPr="001F7B2C">
        <w:rPr>
          <w:i/>
          <w:sz w:val="28"/>
          <w:szCs w:val="28"/>
        </w:rPr>
        <w:t>Id</w:t>
      </w:r>
      <w:r w:rsidRPr="001F7B2C">
        <w:rPr>
          <w:sz w:val="28"/>
          <w:szCs w:val="28"/>
        </w:rPr>
        <w:t>. (</w:t>
      </w:r>
      <w:r w:rsidRPr="001F7B2C">
        <w:rPr>
          <w:i/>
          <w:sz w:val="28"/>
          <w:szCs w:val="28"/>
        </w:rPr>
        <w:t>citing</w:t>
      </w:r>
      <w:r w:rsidRPr="001F7B2C">
        <w:rPr>
          <w:sz w:val="28"/>
          <w:szCs w:val="28"/>
        </w:rPr>
        <w:t xml:space="preserve"> </w:t>
      </w:r>
      <w:r w:rsidRPr="001F7B2C">
        <w:rPr>
          <w:i/>
          <w:sz w:val="28"/>
          <w:szCs w:val="28"/>
        </w:rPr>
        <w:t>Mason v. Flowers</w:t>
      </w:r>
      <w:r w:rsidRPr="001F7B2C">
        <w:rPr>
          <w:sz w:val="28"/>
          <w:szCs w:val="28"/>
        </w:rPr>
        <w:t>, 91 Fla. 224, 107 So. 334, 335 (Fla. 1926)).</w:t>
      </w:r>
    </w:p>
    <w:p w:rsidR="001300CB" w:rsidRDefault="00A4185F" w:rsidP="001F7B2C">
      <w:pPr>
        <w:spacing w:line="480" w:lineRule="auto"/>
        <w:jc w:val="both"/>
        <w:rPr>
          <w:sz w:val="28"/>
          <w:szCs w:val="28"/>
        </w:rPr>
      </w:pPr>
      <w:r>
        <w:rPr>
          <w:sz w:val="28"/>
          <w:szCs w:val="28"/>
        </w:rPr>
        <w:tab/>
        <w:t xml:space="preserve">The promissory note at issue below, like the RISC in </w:t>
      </w:r>
      <w:r w:rsidRPr="00A4185F">
        <w:rPr>
          <w:i/>
          <w:sz w:val="28"/>
          <w:szCs w:val="28"/>
        </w:rPr>
        <w:t>Honest Air</w:t>
      </w:r>
      <w:r>
        <w:rPr>
          <w:sz w:val="28"/>
          <w:szCs w:val="28"/>
        </w:rPr>
        <w:t xml:space="preserve">, is non-negotiable because it contains a series of instructions and undertakings other than the payment of money.  First, the note </w:t>
      </w:r>
      <w:r w:rsidR="000555DB">
        <w:rPr>
          <w:sz w:val="28"/>
          <w:szCs w:val="28"/>
        </w:rPr>
        <w:t xml:space="preserve">contains a provision obligating Homeowners to pay a fee for late payment received by the lender.  </w:t>
      </w:r>
      <w:r w:rsidR="009B7F65">
        <w:rPr>
          <w:sz w:val="28"/>
          <w:szCs w:val="28"/>
        </w:rPr>
        <w:t>[R. 76 in clause 7(A) of the promissory note]</w:t>
      </w:r>
      <w:r w:rsidR="000555DB">
        <w:rPr>
          <w:sz w:val="28"/>
          <w:szCs w:val="28"/>
        </w:rPr>
        <w:t xml:space="preserve">.  A late payment fee was a condition in the RISC in </w:t>
      </w:r>
      <w:r w:rsidR="000555DB" w:rsidRPr="000555DB">
        <w:rPr>
          <w:i/>
          <w:sz w:val="28"/>
          <w:szCs w:val="28"/>
        </w:rPr>
        <w:t>Honest Air</w:t>
      </w:r>
      <w:r w:rsidR="000555DB">
        <w:rPr>
          <w:sz w:val="28"/>
          <w:szCs w:val="28"/>
        </w:rPr>
        <w:t xml:space="preserve"> that this Court held rendered the RISC non-negotiable.  </w:t>
      </w:r>
      <w:r w:rsidR="000555DB" w:rsidRPr="000555DB">
        <w:rPr>
          <w:i/>
          <w:sz w:val="28"/>
          <w:szCs w:val="28"/>
        </w:rPr>
        <w:t>Honest Air</w:t>
      </w:r>
      <w:r w:rsidR="000555DB">
        <w:rPr>
          <w:sz w:val="28"/>
          <w:szCs w:val="28"/>
        </w:rPr>
        <w:t xml:space="preserve">, 933 So. 2d at 37.  </w:t>
      </w:r>
    </w:p>
    <w:p w:rsidR="009B7F65" w:rsidRDefault="001300CB" w:rsidP="001F7B2C">
      <w:pPr>
        <w:spacing w:line="480" w:lineRule="auto"/>
        <w:jc w:val="both"/>
        <w:rPr>
          <w:sz w:val="28"/>
          <w:szCs w:val="28"/>
        </w:rPr>
      </w:pPr>
      <w:r>
        <w:rPr>
          <w:sz w:val="28"/>
          <w:szCs w:val="28"/>
        </w:rPr>
        <w:tab/>
      </w:r>
      <w:r w:rsidR="000555DB">
        <w:rPr>
          <w:sz w:val="28"/>
          <w:szCs w:val="28"/>
        </w:rPr>
        <w:t xml:space="preserve">Additionally, the promissory note contains these other conditions or instructions other than the payment of money: </w:t>
      </w:r>
    </w:p>
    <w:p w:rsidR="009B7F65" w:rsidRDefault="009B7F65" w:rsidP="009B7F65">
      <w:pPr>
        <w:pStyle w:val="ListParagraph"/>
        <w:numPr>
          <w:ilvl w:val="0"/>
          <w:numId w:val="10"/>
        </w:numPr>
        <w:spacing w:line="480" w:lineRule="auto"/>
        <w:jc w:val="both"/>
        <w:rPr>
          <w:sz w:val="28"/>
          <w:szCs w:val="28"/>
        </w:rPr>
      </w:pPr>
      <w:r>
        <w:rPr>
          <w:sz w:val="28"/>
          <w:szCs w:val="28"/>
        </w:rPr>
        <w:lastRenderedPageBreak/>
        <w:t>T</w:t>
      </w:r>
      <w:r w:rsidRPr="009B7F65">
        <w:rPr>
          <w:sz w:val="28"/>
          <w:szCs w:val="28"/>
        </w:rPr>
        <w:t>he instruction that each payment</w:t>
      </w:r>
      <w:r w:rsidR="00567317">
        <w:rPr>
          <w:sz w:val="28"/>
          <w:szCs w:val="28"/>
        </w:rPr>
        <w:t xml:space="preserve"> paid by Homeowners</w:t>
      </w:r>
      <w:r w:rsidRPr="009B7F65">
        <w:rPr>
          <w:sz w:val="28"/>
          <w:szCs w:val="28"/>
        </w:rPr>
        <w:t xml:space="preserve"> will be applied first to interest and then to principal</w:t>
      </w:r>
      <w:r>
        <w:rPr>
          <w:sz w:val="28"/>
          <w:szCs w:val="28"/>
        </w:rPr>
        <w:t>.</w:t>
      </w:r>
      <w:r w:rsidRPr="009B7F65">
        <w:rPr>
          <w:sz w:val="28"/>
          <w:szCs w:val="28"/>
        </w:rPr>
        <w:t xml:space="preserve"> </w:t>
      </w:r>
      <w:r>
        <w:rPr>
          <w:sz w:val="28"/>
          <w:szCs w:val="28"/>
        </w:rPr>
        <w:t xml:space="preserve"> </w:t>
      </w:r>
      <w:r w:rsidRPr="009B7F65">
        <w:rPr>
          <w:sz w:val="28"/>
          <w:szCs w:val="28"/>
        </w:rPr>
        <w:t>[R. 76 in clause</w:t>
      </w:r>
      <w:r>
        <w:rPr>
          <w:sz w:val="28"/>
          <w:szCs w:val="28"/>
        </w:rPr>
        <w:t xml:space="preserve"> 3(A) of the promissory note]; </w:t>
      </w:r>
    </w:p>
    <w:p w:rsidR="009B7F65" w:rsidRDefault="009B7F65" w:rsidP="009B7F65">
      <w:pPr>
        <w:pStyle w:val="ListParagraph"/>
        <w:numPr>
          <w:ilvl w:val="0"/>
          <w:numId w:val="10"/>
        </w:numPr>
        <w:spacing w:line="480" w:lineRule="auto"/>
        <w:jc w:val="both"/>
        <w:rPr>
          <w:sz w:val="28"/>
          <w:szCs w:val="28"/>
        </w:rPr>
      </w:pPr>
      <w:r>
        <w:rPr>
          <w:sz w:val="28"/>
          <w:szCs w:val="28"/>
        </w:rPr>
        <w:t>T</w:t>
      </w:r>
      <w:r w:rsidRPr="009B7F65">
        <w:rPr>
          <w:sz w:val="28"/>
          <w:szCs w:val="28"/>
        </w:rPr>
        <w:t xml:space="preserve">he instruction that </w:t>
      </w:r>
      <w:r>
        <w:rPr>
          <w:sz w:val="28"/>
          <w:szCs w:val="28"/>
        </w:rPr>
        <w:t>the adjustable rate of interest be tied to the aver</w:t>
      </w:r>
      <w:r w:rsidR="00567317">
        <w:rPr>
          <w:sz w:val="28"/>
          <w:szCs w:val="28"/>
        </w:rPr>
        <w:t>age</w:t>
      </w:r>
      <w:r>
        <w:rPr>
          <w:sz w:val="28"/>
          <w:szCs w:val="28"/>
        </w:rPr>
        <w:t xml:space="preserve"> of interbank offered rates for one month U.S. dollar-denominated deposits in the London market, as published in the Wall Street Journal</w:t>
      </w:r>
      <w:r w:rsidR="000555DB" w:rsidRPr="009B7F65">
        <w:rPr>
          <w:sz w:val="28"/>
          <w:szCs w:val="28"/>
        </w:rPr>
        <w:t>.</w:t>
      </w:r>
      <w:r>
        <w:rPr>
          <w:sz w:val="28"/>
          <w:szCs w:val="28"/>
        </w:rPr>
        <w:t xml:space="preserve">  [R. 76 in clause 4(B) of the promissory note];</w:t>
      </w:r>
    </w:p>
    <w:p w:rsidR="00A4185F" w:rsidRDefault="009B7F65" w:rsidP="009B7F65">
      <w:pPr>
        <w:pStyle w:val="ListParagraph"/>
        <w:numPr>
          <w:ilvl w:val="0"/>
          <w:numId w:val="10"/>
        </w:numPr>
        <w:spacing w:line="480" w:lineRule="auto"/>
        <w:jc w:val="both"/>
        <w:rPr>
          <w:sz w:val="28"/>
          <w:szCs w:val="28"/>
        </w:rPr>
      </w:pPr>
      <w:r>
        <w:rPr>
          <w:sz w:val="28"/>
          <w:szCs w:val="28"/>
        </w:rPr>
        <w:t xml:space="preserve">The instruction that during the “initial period” the “minimum required monthly payment” will be less than the amount of interest that accrues on the principal and that for each month the borrower pays this “monthly minimum” the lender will subtract the amount of monthly payment from the amount of interest that accrues.  [R. 76 in clause 4(E) of the promissory note];  </w:t>
      </w:r>
    </w:p>
    <w:p w:rsidR="009B7F65" w:rsidRDefault="009B7F65" w:rsidP="009B7F65">
      <w:pPr>
        <w:pStyle w:val="ListParagraph"/>
        <w:numPr>
          <w:ilvl w:val="0"/>
          <w:numId w:val="10"/>
        </w:numPr>
        <w:spacing w:line="480" w:lineRule="auto"/>
        <w:jc w:val="both"/>
        <w:rPr>
          <w:sz w:val="28"/>
          <w:szCs w:val="28"/>
        </w:rPr>
      </w:pPr>
      <w:r>
        <w:rPr>
          <w:sz w:val="28"/>
          <w:szCs w:val="28"/>
        </w:rPr>
        <w:t xml:space="preserve">The instruction that the lender must deliver or mail to </w:t>
      </w:r>
      <w:r w:rsidR="00567317">
        <w:rPr>
          <w:sz w:val="28"/>
          <w:szCs w:val="28"/>
        </w:rPr>
        <w:t>Homeowners</w:t>
      </w:r>
      <w:r>
        <w:rPr>
          <w:sz w:val="28"/>
          <w:szCs w:val="28"/>
        </w:rPr>
        <w:t xml:space="preserve"> a written notice of any changes in the interest rate </w:t>
      </w:r>
      <w:r w:rsidR="001300CB">
        <w:rPr>
          <w:sz w:val="28"/>
          <w:szCs w:val="28"/>
        </w:rPr>
        <w:t>or</w:t>
      </w:r>
      <w:r>
        <w:rPr>
          <w:sz w:val="28"/>
          <w:szCs w:val="28"/>
        </w:rPr>
        <w:t xml:space="preserve"> the amount of the </w:t>
      </w:r>
      <w:r w:rsidR="00567317">
        <w:rPr>
          <w:sz w:val="28"/>
          <w:szCs w:val="28"/>
        </w:rPr>
        <w:t xml:space="preserve">Homeowners’ </w:t>
      </w:r>
      <w:r>
        <w:rPr>
          <w:sz w:val="28"/>
          <w:szCs w:val="28"/>
        </w:rPr>
        <w:t>monthly payment before the effective date of any change.  [R. 76 in clause 4(</w:t>
      </w:r>
      <w:r w:rsidR="00567317">
        <w:rPr>
          <w:sz w:val="28"/>
          <w:szCs w:val="28"/>
        </w:rPr>
        <w:t>I</w:t>
      </w:r>
      <w:r>
        <w:rPr>
          <w:sz w:val="28"/>
          <w:szCs w:val="28"/>
        </w:rPr>
        <w:t>) of the promissory note];</w:t>
      </w:r>
    </w:p>
    <w:p w:rsidR="00567317" w:rsidRDefault="00567317" w:rsidP="009B7F65">
      <w:pPr>
        <w:pStyle w:val="ListParagraph"/>
        <w:numPr>
          <w:ilvl w:val="0"/>
          <w:numId w:val="10"/>
        </w:numPr>
        <w:spacing w:line="480" w:lineRule="auto"/>
        <w:jc w:val="both"/>
        <w:rPr>
          <w:sz w:val="28"/>
          <w:szCs w:val="28"/>
        </w:rPr>
      </w:pPr>
      <w:r>
        <w:rPr>
          <w:sz w:val="28"/>
          <w:szCs w:val="28"/>
        </w:rPr>
        <w:t>The instruction that Homeowners notice the lender in writing if they intend to “prepay” any portion of the principal.  [R. 76 in clause 5 of the promissory note];</w:t>
      </w:r>
    </w:p>
    <w:p w:rsidR="00567317" w:rsidRDefault="00567317" w:rsidP="009B7F65">
      <w:pPr>
        <w:pStyle w:val="ListParagraph"/>
        <w:numPr>
          <w:ilvl w:val="0"/>
          <w:numId w:val="10"/>
        </w:numPr>
        <w:spacing w:line="480" w:lineRule="auto"/>
        <w:jc w:val="both"/>
        <w:rPr>
          <w:sz w:val="28"/>
          <w:szCs w:val="28"/>
        </w:rPr>
      </w:pPr>
      <w:r>
        <w:rPr>
          <w:sz w:val="28"/>
          <w:szCs w:val="28"/>
        </w:rPr>
        <w:lastRenderedPageBreak/>
        <w:t xml:space="preserve">The instruction that if a “law” is “finally interpreted” so that the interest or other loan charges collected by the lender exceeds the maximum permitted, then any such charge shall be reduced by the amount necessary and any sum actually paid by Homeowners shall be refunded by the lender.  [R. 76 in clause 6 of the promissory note];  </w:t>
      </w:r>
    </w:p>
    <w:p w:rsidR="00567317" w:rsidRDefault="00567317" w:rsidP="009B7F65">
      <w:pPr>
        <w:pStyle w:val="ListParagraph"/>
        <w:numPr>
          <w:ilvl w:val="0"/>
          <w:numId w:val="10"/>
        </w:numPr>
        <w:spacing w:line="480" w:lineRule="auto"/>
        <w:jc w:val="both"/>
        <w:rPr>
          <w:sz w:val="28"/>
          <w:szCs w:val="28"/>
        </w:rPr>
      </w:pPr>
      <w:r>
        <w:rPr>
          <w:sz w:val="28"/>
          <w:szCs w:val="28"/>
        </w:rPr>
        <w:t>The instruction that the lender might give Homeowners notice that the lender intends to accelerate all sums due if Homeowners are in default.  [R. 76 in clause 7 of the promissory note]; and</w:t>
      </w:r>
    </w:p>
    <w:p w:rsidR="00567317" w:rsidRPr="009B7F65" w:rsidRDefault="00567317" w:rsidP="009B7F65">
      <w:pPr>
        <w:pStyle w:val="ListParagraph"/>
        <w:numPr>
          <w:ilvl w:val="0"/>
          <w:numId w:val="10"/>
        </w:numPr>
        <w:spacing w:line="480" w:lineRule="auto"/>
        <w:jc w:val="both"/>
        <w:rPr>
          <w:sz w:val="28"/>
          <w:szCs w:val="28"/>
        </w:rPr>
      </w:pPr>
      <w:r>
        <w:rPr>
          <w:sz w:val="28"/>
          <w:szCs w:val="28"/>
        </w:rPr>
        <w:t>The instruction that any notice which must be given to Homeowners by the lender, or to the lender by the Homeowners, must be in writing.  [R. 76 in clause 8 of the promissory note]</w:t>
      </w:r>
      <w:r w:rsidR="001300CB">
        <w:rPr>
          <w:sz w:val="28"/>
          <w:szCs w:val="28"/>
        </w:rPr>
        <w:t>.</w:t>
      </w:r>
    </w:p>
    <w:p w:rsidR="000555DB" w:rsidRDefault="000555DB" w:rsidP="001F7B2C">
      <w:pPr>
        <w:spacing w:line="480" w:lineRule="auto"/>
        <w:jc w:val="both"/>
        <w:rPr>
          <w:sz w:val="28"/>
          <w:szCs w:val="28"/>
        </w:rPr>
      </w:pPr>
      <w:r>
        <w:rPr>
          <w:sz w:val="28"/>
          <w:szCs w:val="28"/>
        </w:rPr>
        <w:tab/>
        <w:t xml:space="preserve">At trial, </w:t>
      </w:r>
      <w:r w:rsidR="00387F64">
        <w:rPr>
          <w:sz w:val="28"/>
          <w:szCs w:val="28"/>
        </w:rPr>
        <w:t>RCS</w:t>
      </w:r>
      <w:r>
        <w:rPr>
          <w:sz w:val="28"/>
          <w:szCs w:val="28"/>
        </w:rPr>
        <w:t xml:space="preserve">’s counsel argued that a promissory note was somehow inherently different than an agreement to repay an automobile loan.  </w:t>
      </w:r>
      <w:r w:rsidR="00567317">
        <w:rPr>
          <w:sz w:val="28"/>
          <w:szCs w:val="28"/>
        </w:rPr>
        <w:t>[T. 111-112]</w:t>
      </w:r>
      <w:r>
        <w:rPr>
          <w:sz w:val="28"/>
          <w:szCs w:val="28"/>
        </w:rPr>
        <w:t xml:space="preserve">.  Indeed, quoting </w:t>
      </w:r>
      <w:r w:rsidRPr="000555DB">
        <w:rPr>
          <w:i/>
          <w:sz w:val="28"/>
          <w:szCs w:val="28"/>
        </w:rPr>
        <w:t>Riggs</w:t>
      </w:r>
      <w:r>
        <w:rPr>
          <w:sz w:val="28"/>
          <w:szCs w:val="28"/>
        </w:rPr>
        <w:t xml:space="preserve">, the trial court found that the note was a negotiable instrument.  </w:t>
      </w:r>
      <w:r w:rsidR="00567317">
        <w:rPr>
          <w:sz w:val="28"/>
          <w:szCs w:val="28"/>
        </w:rPr>
        <w:t>[T. 120].</w:t>
      </w:r>
      <w:r w:rsidR="00CA7CEA">
        <w:rPr>
          <w:sz w:val="28"/>
          <w:szCs w:val="28"/>
        </w:rPr>
        <w:t xml:space="preserve">  However, both the trial court’s analysis below, and the appellate decisions in </w:t>
      </w:r>
      <w:r w:rsidR="00CA7CEA" w:rsidRPr="00CA7CEA">
        <w:rPr>
          <w:i/>
          <w:sz w:val="28"/>
          <w:szCs w:val="28"/>
        </w:rPr>
        <w:t>Riggs</w:t>
      </w:r>
      <w:r w:rsidR="00CA7CEA">
        <w:rPr>
          <w:sz w:val="28"/>
          <w:szCs w:val="28"/>
        </w:rPr>
        <w:t xml:space="preserve">, </w:t>
      </w:r>
      <w:r w:rsidR="00CA7CEA" w:rsidRPr="00CA7CEA">
        <w:rPr>
          <w:i/>
          <w:sz w:val="28"/>
          <w:szCs w:val="28"/>
        </w:rPr>
        <w:t>Taylor</w:t>
      </w:r>
      <w:r w:rsidR="00CA7CEA">
        <w:rPr>
          <w:sz w:val="28"/>
          <w:szCs w:val="28"/>
        </w:rPr>
        <w:t xml:space="preserve">, and </w:t>
      </w:r>
      <w:r w:rsidR="00CA7CEA" w:rsidRPr="00CA7CEA">
        <w:rPr>
          <w:i/>
          <w:sz w:val="28"/>
          <w:szCs w:val="28"/>
        </w:rPr>
        <w:t>Perry</w:t>
      </w:r>
      <w:r w:rsidR="00567317" w:rsidRPr="00567317">
        <w:rPr>
          <w:sz w:val="28"/>
          <w:szCs w:val="28"/>
        </w:rPr>
        <w:t>,</w:t>
      </w:r>
      <w:r w:rsidR="00CA7CEA">
        <w:rPr>
          <w:sz w:val="28"/>
          <w:szCs w:val="28"/>
        </w:rPr>
        <w:t xml:space="preserve"> all lack the analysis of §</w:t>
      </w:r>
      <w:r w:rsidR="00CA7CEA" w:rsidRPr="001F7B2C">
        <w:rPr>
          <w:sz w:val="28"/>
          <w:szCs w:val="28"/>
        </w:rPr>
        <w:t>673.1041(1)(c)</w:t>
      </w:r>
      <w:r w:rsidR="00CA7CEA">
        <w:rPr>
          <w:sz w:val="28"/>
          <w:szCs w:val="28"/>
        </w:rPr>
        <w:t xml:space="preserve"> done by this Court in </w:t>
      </w:r>
      <w:r w:rsidR="00CA7CEA" w:rsidRPr="00CA7CEA">
        <w:rPr>
          <w:i/>
          <w:sz w:val="28"/>
          <w:szCs w:val="28"/>
        </w:rPr>
        <w:t>Honest Air</w:t>
      </w:r>
      <w:r w:rsidR="00CA7CEA">
        <w:rPr>
          <w:sz w:val="28"/>
          <w:szCs w:val="28"/>
        </w:rPr>
        <w:t xml:space="preserve">.  To assert generally that a promissory note is a negotiable instrument because </w:t>
      </w:r>
      <w:r w:rsidR="00CA7CEA" w:rsidRPr="00CA7CEA">
        <w:rPr>
          <w:i/>
          <w:sz w:val="28"/>
          <w:szCs w:val="28"/>
        </w:rPr>
        <w:t>Riggs</w:t>
      </w:r>
      <w:r w:rsidR="00CA7CEA">
        <w:rPr>
          <w:sz w:val="28"/>
          <w:szCs w:val="28"/>
        </w:rPr>
        <w:t xml:space="preserve">, </w:t>
      </w:r>
      <w:r w:rsidR="00CA7CEA" w:rsidRPr="00CA7CEA">
        <w:rPr>
          <w:i/>
          <w:sz w:val="28"/>
          <w:szCs w:val="28"/>
        </w:rPr>
        <w:t>Taylor</w:t>
      </w:r>
      <w:r w:rsidR="00CA7CEA">
        <w:rPr>
          <w:sz w:val="28"/>
          <w:szCs w:val="28"/>
        </w:rPr>
        <w:t xml:space="preserve">, and </w:t>
      </w:r>
      <w:r w:rsidR="00CA7CEA" w:rsidRPr="00CA7CEA">
        <w:rPr>
          <w:i/>
          <w:sz w:val="28"/>
          <w:szCs w:val="28"/>
        </w:rPr>
        <w:t>Perry</w:t>
      </w:r>
      <w:r w:rsidR="00CA7CEA">
        <w:rPr>
          <w:sz w:val="28"/>
          <w:szCs w:val="28"/>
        </w:rPr>
        <w:t xml:space="preserve"> say so, or to make a blanket argument that </w:t>
      </w:r>
      <w:r w:rsidR="00CA7CEA" w:rsidRPr="00CA7CEA">
        <w:rPr>
          <w:i/>
          <w:sz w:val="28"/>
          <w:szCs w:val="28"/>
        </w:rPr>
        <w:t>Honest Air</w:t>
      </w:r>
      <w:r w:rsidR="00CA7CEA">
        <w:rPr>
          <w:sz w:val="28"/>
          <w:szCs w:val="28"/>
        </w:rPr>
        <w:t xml:space="preserve"> does not apply to promissory notes because those instruments are fundamentally different than RISCs, promotes </w:t>
      </w:r>
      <w:r w:rsidR="00CA7CEA">
        <w:rPr>
          <w:sz w:val="28"/>
          <w:szCs w:val="28"/>
        </w:rPr>
        <w:lastRenderedPageBreak/>
        <w:t>form over substance and emasculates §</w:t>
      </w:r>
      <w:r w:rsidR="00CA7CEA" w:rsidRPr="001F7B2C">
        <w:rPr>
          <w:sz w:val="28"/>
          <w:szCs w:val="28"/>
        </w:rPr>
        <w:t>673.1041(1)(c)</w:t>
      </w:r>
      <w:r w:rsidR="00CA7CEA">
        <w:rPr>
          <w:sz w:val="28"/>
          <w:szCs w:val="28"/>
        </w:rPr>
        <w:t>.  This the Court should not do.</w:t>
      </w:r>
    </w:p>
    <w:p w:rsidR="00CA7CEA" w:rsidRPr="001F7B2C" w:rsidRDefault="00CA7CEA" w:rsidP="001F7B2C">
      <w:pPr>
        <w:spacing w:line="480" w:lineRule="auto"/>
        <w:jc w:val="both"/>
        <w:rPr>
          <w:sz w:val="28"/>
          <w:szCs w:val="28"/>
        </w:rPr>
      </w:pPr>
      <w:r>
        <w:rPr>
          <w:sz w:val="28"/>
          <w:szCs w:val="28"/>
        </w:rPr>
        <w:tab/>
        <w:t xml:space="preserve">When conducting a thorough analysis of the note at issue it is clear that the instrument contains instructions and undertakings other than the payment of money on both the person ordering payment and the person promising payment.  Therefore, the promissory note is non-negotiable, </w:t>
      </w:r>
      <w:r w:rsidRPr="00CA7CEA">
        <w:rPr>
          <w:i/>
          <w:sz w:val="28"/>
          <w:szCs w:val="28"/>
        </w:rPr>
        <w:t>Riggs</w:t>
      </w:r>
      <w:r>
        <w:rPr>
          <w:sz w:val="28"/>
          <w:szCs w:val="28"/>
        </w:rPr>
        <w:t xml:space="preserve"> and its progeny are inapposite, and </w:t>
      </w:r>
      <w:r w:rsidR="00387F64">
        <w:rPr>
          <w:sz w:val="28"/>
          <w:szCs w:val="28"/>
        </w:rPr>
        <w:t>RCS</w:t>
      </w:r>
      <w:r>
        <w:rPr>
          <w:sz w:val="28"/>
          <w:szCs w:val="28"/>
        </w:rPr>
        <w:t xml:space="preserve"> cannot claim that </w:t>
      </w:r>
      <w:r w:rsidR="00F27E8F">
        <w:rPr>
          <w:sz w:val="28"/>
          <w:szCs w:val="28"/>
        </w:rPr>
        <w:t>its mere possession of the note endorsed in blank conferred onto it standing to sue.</w:t>
      </w:r>
    </w:p>
    <w:p w:rsidR="00E64C40" w:rsidRDefault="00E64C40" w:rsidP="004867A2">
      <w:pPr>
        <w:pStyle w:val="ListParagraph"/>
        <w:numPr>
          <w:ilvl w:val="0"/>
          <w:numId w:val="4"/>
        </w:numPr>
        <w:spacing w:line="240" w:lineRule="auto"/>
        <w:jc w:val="both"/>
        <w:rPr>
          <w:b/>
          <w:sz w:val="28"/>
          <w:szCs w:val="28"/>
        </w:rPr>
      </w:pPr>
      <w:r>
        <w:rPr>
          <w:b/>
          <w:sz w:val="28"/>
          <w:szCs w:val="28"/>
        </w:rPr>
        <w:t>Integrating the terms of the mortgage into enforcement of the promissory note destroys any negotiability the note might have</w:t>
      </w:r>
    </w:p>
    <w:p w:rsidR="004867A2" w:rsidRDefault="004867A2" w:rsidP="004867A2">
      <w:pPr>
        <w:pStyle w:val="ListParagraph"/>
        <w:spacing w:line="240" w:lineRule="auto"/>
        <w:ind w:left="2160"/>
        <w:jc w:val="both"/>
        <w:rPr>
          <w:b/>
          <w:sz w:val="28"/>
          <w:szCs w:val="28"/>
        </w:rPr>
      </w:pPr>
    </w:p>
    <w:p w:rsidR="00F27E8F" w:rsidRDefault="00F27E8F" w:rsidP="00F27E8F">
      <w:pPr>
        <w:spacing w:line="480" w:lineRule="auto"/>
        <w:jc w:val="both"/>
        <w:rPr>
          <w:sz w:val="28"/>
          <w:szCs w:val="28"/>
        </w:rPr>
      </w:pPr>
      <w:r>
        <w:rPr>
          <w:sz w:val="28"/>
          <w:szCs w:val="28"/>
        </w:rPr>
        <w:tab/>
        <w:t xml:space="preserve">Even if the promissory note was negotiable, </w:t>
      </w:r>
      <w:r w:rsidR="004867A2">
        <w:rPr>
          <w:sz w:val="28"/>
          <w:szCs w:val="28"/>
        </w:rPr>
        <w:t xml:space="preserve">arguing that the negotiation of the note permits foreclosure of the mortgage destroys any negotiability the note might have in the first place.  This is because in so arguing, </w:t>
      </w:r>
      <w:r w:rsidR="001300CB">
        <w:rPr>
          <w:sz w:val="28"/>
          <w:szCs w:val="28"/>
        </w:rPr>
        <w:t>the proponent</w:t>
      </w:r>
      <w:r w:rsidR="004867A2">
        <w:rPr>
          <w:sz w:val="28"/>
          <w:szCs w:val="28"/>
        </w:rPr>
        <w:t xml:space="preserve"> would be suggesting that the terms of the mortgage have been imbedded into the note (</w:t>
      </w:r>
      <w:r w:rsidR="00972D0A">
        <w:rPr>
          <w:sz w:val="28"/>
          <w:szCs w:val="28"/>
        </w:rPr>
        <w:t xml:space="preserve">since </w:t>
      </w:r>
      <w:r w:rsidR="001300CB">
        <w:rPr>
          <w:sz w:val="28"/>
          <w:szCs w:val="28"/>
        </w:rPr>
        <w:t>the argument</w:t>
      </w:r>
      <w:r w:rsidR="00972D0A">
        <w:rPr>
          <w:sz w:val="28"/>
          <w:szCs w:val="28"/>
        </w:rPr>
        <w:t xml:space="preserve"> would be </w:t>
      </w:r>
      <w:r w:rsidR="004867A2">
        <w:rPr>
          <w:sz w:val="28"/>
          <w:szCs w:val="28"/>
        </w:rPr>
        <w:t xml:space="preserve">that </w:t>
      </w:r>
      <w:r w:rsidR="001300CB">
        <w:rPr>
          <w:sz w:val="28"/>
          <w:szCs w:val="28"/>
        </w:rPr>
        <w:t xml:space="preserve">the </w:t>
      </w:r>
      <w:r w:rsidR="004867A2">
        <w:rPr>
          <w:sz w:val="28"/>
          <w:szCs w:val="28"/>
        </w:rPr>
        <w:t xml:space="preserve">negotiation of the note transfers with it enforcement powers over the terms of the mortgage).  </w:t>
      </w:r>
      <w:r w:rsidR="00972D0A">
        <w:rPr>
          <w:sz w:val="28"/>
          <w:szCs w:val="28"/>
        </w:rPr>
        <w:t>Given that</w:t>
      </w:r>
      <w:r w:rsidR="004867A2">
        <w:rPr>
          <w:sz w:val="28"/>
          <w:szCs w:val="28"/>
        </w:rPr>
        <w:t xml:space="preserve"> there are countless instructions and undertakings other than the payment of money located in the mortgage, integrating the terms of the mortgage would bring the promissory note within the exclusionary language of §</w:t>
      </w:r>
      <w:r w:rsidR="004867A2" w:rsidRPr="001F7B2C">
        <w:rPr>
          <w:sz w:val="28"/>
          <w:szCs w:val="28"/>
        </w:rPr>
        <w:t>673.1041(1)(c)</w:t>
      </w:r>
      <w:r w:rsidR="004867A2">
        <w:rPr>
          <w:sz w:val="28"/>
          <w:szCs w:val="28"/>
        </w:rPr>
        <w:t>.</w:t>
      </w:r>
    </w:p>
    <w:p w:rsidR="004867A2" w:rsidRDefault="004867A2" w:rsidP="00F27E8F">
      <w:pPr>
        <w:spacing w:line="480" w:lineRule="auto"/>
        <w:jc w:val="both"/>
        <w:rPr>
          <w:sz w:val="28"/>
          <w:szCs w:val="28"/>
        </w:rPr>
      </w:pPr>
      <w:r>
        <w:rPr>
          <w:sz w:val="28"/>
          <w:szCs w:val="28"/>
        </w:rPr>
        <w:lastRenderedPageBreak/>
        <w:tab/>
        <w:t xml:space="preserve">The basis for </w:t>
      </w:r>
      <w:r w:rsidR="001300CB">
        <w:rPr>
          <w:sz w:val="28"/>
          <w:szCs w:val="28"/>
        </w:rPr>
        <w:t>this potential</w:t>
      </w:r>
      <w:r>
        <w:rPr>
          <w:sz w:val="28"/>
          <w:szCs w:val="28"/>
        </w:rPr>
        <w:t xml:space="preserve"> argument is the doctrine that “the mortgage follows the note” prominently </w:t>
      </w:r>
      <w:r w:rsidR="00B648BF">
        <w:rPr>
          <w:sz w:val="28"/>
          <w:szCs w:val="28"/>
        </w:rPr>
        <w:t>explained</w:t>
      </w:r>
      <w:r>
        <w:rPr>
          <w:sz w:val="28"/>
          <w:szCs w:val="28"/>
        </w:rPr>
        <w:t xml:space="preserve"> in the seminal case of </w:t>
      </w:r>
      <w:r w:rsidRPr="00B254D9">
        <w:rPr>
          <w:i/>
          <w:sz w:val="28"/>
          <w:szCs w:val="28"/>
        </w:rPr>
        <w:t>Johns v. Gillian</w:t>
      </w:r>
      <w:r>
        <w:rPr>
          <w:sz w:val="28"/>
          <w:szCs w:val="28"/>
        </w:rPr>
        <w:t>, 184 So. 140 (Fla. 1938).  There, the Florida Supreme Court held</w:t>
      </w:r>
    </w:p>
    <w:p w:rsidR="00B254D9" w:rsidRDefault="004867A2" w:rsidP="00B254D9">
      <w:pPr>
        <w:spacing w:line="240" w:lineRule="auto"/>
        <w:ind w:left="720" w:right="720"/>
        <w:jc w:val="both"/>
        <w:rPr>
          <w:sz w:val="28"/>
          <w:szCs w:val="28"/>
        </w:rPr>
      </w:pPr>
      <w:r w:rsidRPr="00B254D9">
        <w:rPr>
          <w:sz w:val="28"/>
          <w:szCs w:val="28"/>
        </w:rPr>
        <w:t>it has frequently been held that a mortgage is but an incident to the debt, the payment of which it secures, and its ownership follows the assignment of the debt. If the note or other debt secured by a mortgage be transferred without any formal assignment of the mortgage, or even a delivery of it, the mortgage in equity passes as an incident to the debt, unless there be some plain and clear agreement to the contrary, if that be the intention of the parties.</w:t>
      </w:r>
    </w:p>
    <w:p w:rsidR="00B254D9" w:rsidRPr="00B254D9" w:rsidRDefault="00B254D9" w:rsidP="00B254D9">
      <w:pPr>
        <w:spacing w:line="240" w:lineRule="auto"/>
        <w:ind w:left="720" w:right="720"/>
        <w:jc w:val="both"/>
        <w:rPr>
          <w:sz w:val="28"/>
          <w:szCs w:val="28"/>
        </w:rPr>
      </w:pPr>
    </w:p>
    <w:p w:rsidR="004867A2" w:rsidRDefault="00B254D9" w:rsidP="00B254D9">
      <w:pPr>
        <w:spacing w:line="480" w:lineRule="auto"/>
        <w:jc w:val="both"/>
        <w:rPr>
          <w:sz w:val="28"/>
          <w:szCs w:val="28"/>
        </w:rPr>
      </w:pPr>
      <w:r w:rsidRPr="00B254D9">
        <w:rPr>
          <w:i/>
          <w:sz w:val="28"/>
          <w:szCs w:val="28"/>
        </w:rPr>
        <w:t>Id.</w:t>
      </w:r>
      <w:r>
        <w:rPr>
          <w:sz w:val="28"/>
          <w:szCs w:val="28"/>
        </w:rPr>
        <w:t xml:space="preserve"> at 143.  </w:t>
      </w:r>
      <w:r w:rsidRPr="00B254D9">
        <w:rPr>
          <w:i/>
          <w:sz w:val="28"/>
          <w:szCs w:val="28"/>
        </w:rPr>
        <w:t>See also WM Specialty Mortg., LLC v. Salomon</w:t>
      </w:r>
      <w:r w:rsidRPr="00B254D9">
        <w:rPr>
          <w:sz w:val="28"/>
          <w:szCs w:val="28"/>
        </w:rPr>
        <w:t xml:space="preserve">, 874 So. </w:t>
      </w:r>
      <w:r>
        <w:rPr>
          <w:sz w:val="28"/>
          <w:szCs w:val="28"/>
        </w:rPr>
        <w:t xml:space="preserve">2d 680, 682 (Fla. 4th DCA 2004).  </w:t>
      </w:r>
      <w:r w:rsidR="00972D0A">
        <w:rPr>
          <w:sz w:val="28"/>
          <w:szCs w:val="28"/>
        </w:rPr>
        <w:t>Thus</w:t>
      </w:r>
      <w:r>
        <w:rPr>
          <w:sz w:val="28"/>
          <w:szCs w:val="28"/>
        </w:rPr>
        <w:t>, the argument goes, since the note has been negotiated, the mortgage passes in equity to the “holder” of the note.</w:t>
      </w:r>
    </w:p>
    <w:p w:rsidR="00B254D9" w:rsidRDefault="00B254D9" w:rsidP="00B254D9">
      <w:pPr>
        <w:spacing w:line="480" w:lineRule="auto"/>
        <w:jc w:val="both"/>
        <w:rPr>
          <w:sz w:val="28"/>
          <w:szCs w:val="28"/>
        </w:rPr>
      </w:pPr>
      <w:r>
        <w:rPr>
          <w:sz w:val="28"/>
          <w:szCs w:val="28"/>
        </w:rPr>
        <w:tab/>
        <w:t xml:space="preserve">The inherent flaw with this argument, however, is that it ignores the ramifications of integrating the two documents.  Specifically, there is no clause in the promissory note at issue which would permit foreclosure of the security instrument.  Rather, it is </w:t>
      </w:r>
      <w:r w:rsidRPr="00972D0A">
        <w:rPr>
          <w:sz w:val="28"/>
          <w:szCs w:val="28"/>
        </w:rPr>
        <w:t>clause 22</w:t>
      </w:r>
      <w:r>
        <w:rPr>
          <w:sz w:val="28"/>
          <w:szCs w:val="28"/>
        </w:rPr>
        <w:t xml:space="preserve"> of the mortgage which permits foreclosure only upon default and failure to cure after timely notice.  </w:t>
      </w:r>
      <w:r w:rsidR="00972D0A">
        <w:rPr>
          <w:sz w:val="28"/>
          <w:szCs w:val="28"/>
        </w:rPr>
        <w:t>[R. 76]</w:t>
      </w:r>
      <w:r>
        <w:rPr>
          <w:sz w:val="28"/>
          <w:szCs w:val="28"/>
        </w:rPr>
        <w:t>.</w:t>
      </w:r>
      <w:r w:rsidR="00972D0A">
        <w:rPr>
          <w:rStyle w:val="FootnoteReference"/>
          <w:sz w:val="28"/>
          <w:szCs w:val="28"/>
        </w:rPr>
        <w:footnoteReference w:id="3"/>
      </w:r>
      <w:r>
        <w:rPr>
          <w:sz w:val="28"/>
          <w:szCs w:val="28"/>
        </w:rPr>
        <w:t xml:space="preserve">  Therefore, to argue that negotiation of the note would transfer “in equity” the mortgage presupposes </w:t>
      </w:r>
      <w:r>
        <w:rPr>
          <w:sz w:val="28"/>
          <w:szCs w:val="28"/>
        </w:rPr>
        <w:lastRenderedPageBreak/>
        <w:t xml:space="preserve">that </w:t>
      </w:r>
      <w:r w:rsidRPr="00972D0A">
        <w:rPr>
          <w:sz w:val="28"/>
          <w:szCs w:val="28"/>
        </w:rPr>
        <w:t>clause 22</w:t>
      </w:r>
      <w:r>
        <w:rPr>
          <w:sz w:val="28"/>
          <w:szCs w:val="28"/>
        </w:rPr>
        <w:t xml:space="preserve"> of the mortgage is included in the terms of the note</w:t>
      </w:r>
      <w:r w:rsidR="00B648BF">
        <w:rPr>
          <w:sz w:val="28"/>
          <w:szCs w:val="28"/>
        </w:rPr>
        <w:t xml:space="preserve"> when the note is negotiated</w:t>
      </w:r>
      <w:r>
        <w:rPr>
          <w:sz w:val="28"/>
          <w:szCs w:val="28"/>
        </w:rPr>
        <w:t xml:space="preserve">. </w:t>
      </w:r>
    </w:p>
    <w:p w:rsidR="00B254D9" w:rsidRDefault="00B254D9" w:rsidP="00B254D9">
      <w:pPr>
        <w:spacing w:line="480" w:lineRule="auto"/>
        <w:jc w:val="both"/>
        <w:rPr>
          <w:sz w:val="28"/>
          <w:szCs w:val="28"/>
        </w:rPr>
      </w:pPr>
      <w:r>
        <w:rPr>
          <w:sz w:val="28"/>
          <w:szCs w:val="28"/>
        </w:rPr>
        <w:tab/>
        <w:t xml:space="preserve"> </w:t>
      </w:r>
      <w:r w:rsidR="00B648BF">
        <w:rPr>
          <w:sz w:val="28"/>
          <w:szCs w:val="28"/>
        </w:rPr>
        <w:t>However, i</w:t>
      </w:r>
      <w:r w:rsidR="00972D0A">
        <w:rPr>
          <w:sz w:val="28"/>
          <w:szCs w:val="28"/>
        </w:rPr>
        <w:t xml:space="preserve">ntegrating the terms of the mortgage into the note would </w:t>
      </w:r>
      <w:r w:rsidR="00FE017B">
        <w:rPr>
          <w:sz w:val="28"/>
          <w:szCs w:val="28"/>
        </w:rPr>
        <w:t xml:space="preserve">not only bring </w:t>
      </w:r>
      <w:r>
        <w:rPr>
          <w:sz w:val="28"/>
          <w:szCs w:val="28"/>
        </w:rPr>
        <w:t>promissory note within the exclusionary language of §</w:t>
      </w:r>
      <w:r w:rsidRPr="001F7B2C">
        <w:rPr>
          <w:sz w:val="28"/>
          <w:szCs w:val="28"/>
        </w:rPr>
        <w:t>673.1041(1)(c)</w:t>
      </w:r>
      <w:r>
        <w:rPr>
          <w:sz w:val="28"/>
          <w:szCs w:val="28"/>
        </w:rPr>
        <w:t xml:space="preserve">, the note would </w:t>
      </w:r>
      <w:r w:rsidR="00FE017B">
        <w:rPr>
          <w:sz w:val="28"/>
          <w:szCs w:val="28"/>
        </w:rPr>
        <w:t xml:space="preserve">also </w:t>
      </w:r>
      <w:r>
        <w:rPr>
          <w:sz w:val="28"/>
          <w:szCs w:val="28"/>
        </w:rPr>
        <w:t xml:space="preserve">no longer be an “unconditional promise” </w:t>
      </w:r>
      <w:r w:rsidR="00FE017B">
        <w:rPr>
          <w:sz w:val="28"/>
          <w:szCs w:val="28"/>
        </w:rPr>
        <w:t>to pay.  This is because t</w:t>
      </w:r>
      <w:r>
        <w:rPr>
          <w:sz w:val="28"/>
          <w:szCs w:val="28"/>
        </w:rPr>
        <w:t xml:space="preserve">he note would be subject to </w:t>
      </w:r>
      <w:r w:rsidR="0048008A">
        <w:rPr>
          <w:sz w:val="28"/>
          <w:szCs w:val="28"/>
        </w:rPr>
        <w:t xml:space="preserve">and governed by the mortgage, </w:t>
      </w:r>
      <w:r w:rsidR="0048008A" w:rsidRPr="0048008A">
        <w:rPr>
          <w:i/>
          <w:sz w:val="28"/>
          <w:szCs w:val="28"/>
        </w:rPr>
        <w:t xml:space="preserve">see </w:t>
      </w:r>
      <w:r w:rsidR="0048008A">
        <w:rPr>
          <w:sz w:val="28"/>
          <w:szCs w:val="28"/>
        </w:rPr>
        <w:t xml:space="preserve">Fla. Stat. §673.1061(b), and the rights and obligations with respect to the promise would </w:t>
      </w:r>
      <w:r w:rsidR="00B648BF">
        <w:rPr>
          <w:sz w:val="28"/>
          <w:szCs w:val="28"/>
        </w:rPr>
        <w:t xml:space="preserve">likewise </w:t>
      </w:r>
      <w:r w:rsidR="0048008A">
        <w:rPr>
          <w:sz w:val="28"/>
          <w:szCs w:val="28"/>
        </w:rPr>
        <w:t xml:space="preserve">be governed by the mortgage, </w:t>
      </w:r>
      <w:r w:rsidR="0048008A" w:rsidRPr="00FE017B">
        <w:rPr>
          <w:i/>
          <w:sz w:val="28"/>
          <w:szCs w:val="28"/>
        </w:rPr>
        <w:t>see</w:t>
      </w:r>
      <w:r w:rsidR="0048008A">
        <w:rPr>
          <w:sz w:val="28"/>
          <w:szCs w:val="28"/>
        </w:rPr>
        <w:t xml:space="preserve"> Fla. Stat. §673.1061(c).  </w:t>
      </w:r>
      <w:r w:rsidR="0048008A">
        <w:rPr>
          <w:i/>
          <w:sz w:val="28"/>
          <w:szCs w:val="28"/>
        </w:rPr>
        <w:t>See also Holly Hills Acres, Ltd. v. Charter Bank of Gainesville</w:t>
      </w:r>
      <w:r w:rsidR="0048008A">
        <w:rPr>
          <w:sz w:val="28"/>
          <w:szCs w:val="28"/>
        </w:rPr>
        <w:t>, 314 So. 2d 209, 211 (Fla. 2d DCA 1975) (providing that “</w:t>
      </w:r>
      <w:r w:rsidR="0048008A" w:rsidRPr="0048008A">
        <w:rPr>
          <w:sz w:val="28"/>
          <w:szCs w:val="28"/>
        </w:rPr>
        <w:t>The note having incorporated the terms of the purchase money mortgage was not negotiable</w:t>
      </w:r>
      <w:r w:rsidR="0048008A">
        <w:rPr>
          <w:sz w:val="28"/>
          <w:szCs w:val="28"/>
        </w:rPr>
        <w:t>…[because] [t]</w:t>
      </w:r>
      <w:r w:rsidR="0048008A" w:rsidRPr="0048008A">
        <w:rPr>
          <w:sz w:val="28"/>
          <w:szCs w:val="28"/>
        </w:rPr>
        <w:t>he note, incorporating by reference the terms of the mortgage, did not contain the unconditional promise to pay</w:t>
      </w:r>
      <w:r w:rsidR="0048008A">
        <w:rPr>
          <w:sz w:val="28"/>
          <w:szCs w:val="28"/>
        </w:rPr>
        <w:t xml:space="preserve">.”) </w:t>
      </w:r>
    </w:p>
    <w:p w:rsidR="0048008A" w:rsidRPr="00F27E8F" w:rsidRDefault="000F1387" w:rsidP="00B254D9">
      <w:pPr>
        <w:spacing w:line="480" w:lineRule="auto"/>
        <w:jc w:val="both"/>
        <w:rPr>
          <w:sz w:val="28"/>
          <w:szCs w:val="28"/>
        </w:rPr>
      </w:pPr>
      <w:r>
        <w:rPr>
          <w:sz w:val="28"/>
          <w:szCs w:val="28"/>
        </w:rPr>
        <w:tab/>
      </w:r>
      <w:r w:rsidR="000809C5">
        <w:rPr>
          <w:sz w:val="28"/>
          <w:szCs w:val="28"/>
        </w:rPr>
        <w:t>Because</w:t>
      </w:r>
      <w:r w:rsidR="00387F64">
        <w:rPr>
          <w:sz w:val="28"/>
          <w:szCs w:val="28"/>
        </w:rPr>
        <w:t xml:space="preserve"> incorporating the terms of the mortgage into the negotiation of the promissory note under the guise that “the mortgage follows the note” annihilates any negotiability the note might have, mere possession of the original note by RCS</w:t>
      </w:r>
    </w:p>
    <w:p w:rsidR="00E64C40" w:rsidRDefault="002104E6" w:rsidP="00AF4905">
      <w:pPr>
        <w:pStyle w:val="ListParagraph"/>
        <w:numPr>
          <w:ilvl w:val="0"/>
          <w:numId w:val="2"/>
        </w:numPr>
        <w:spacing w:line="240" w:lineRule="auto"/>
        <w:jc w:val="both"/>
        <w:rPr>
          <w:b/>
          <w:sz w:val="28"/>
          <w:szCs w:val="28"/>
        </w:rPr>
      </w:pPr>
      <w:r>
        <w:rPr>
          <w:b/>
          <w:sz w:val="28"/>
          <w:szCs w:val="28"/>
        </w:rPr>
        <w:t xml:space="preserve">Assuming, </w:t>
      </w:r>
      <w:r w:rsidRPr="002104E6">
        <w:rPr>
          <w:b/>
          <w:i/>
          <w:sz w:val="28"/>
          <w:szCs w:val="28"/>
        </w:rPr>
        <w:t>arguendo</w:t>
      </w:r>
      <w:r>
        <w:rPr>
          <w:b/>
          <w:sz w:val="28"/>
          <w:szCs w:val="28"/>
        </w:rPr>
        <w:t xml:space="preserve">, that the </w:t>
      </w:r>
      <w:r w:rsidR="00E64C40">
        <w:rPr>
          <w:b/>
          <w:sz w:val="28"/>
          <w:szCs w:val="28"/>
        </w:rPr>
        <w:t xml:space="preserve">promissory </w:t>
      </w:r>
      <w:r>
        <w:rPr>
          <w:b/>
          <w:sz w:val="28"/>
          <w:szCs w:val="28"/>
        </w:rPr>
        <w:t xml:space="preserve">note is negotiable, </w:t>
      </w:r>
      <w:r w:rsidR="00387F64">
        <w:rPr>
          <w:b/>
          <w:sz w:val="28"/>
          <w:szCs w:val="28"/>
        </w:rPr>
        <w:t>RCS</w:t>
      </w:r>
      <w:r>
        <w:rPr>
          <w:b/>
          <w:sz w:val="28"/>
          <w:szCs w:val="28"/>
        </w:rPr>
        <w:t xml:space="preserve"> was not the holder because the note was constructively delivered to its undisclosed principal</w:t>
      </w:r>
    </w:p>
    <w:p w:rsidR="00AF4905" w:rsidRDefault="00AF4905" w:rsidP="00AF4905">
      <w:pPr>
        <w:pStyle w:val="ListParagraph"/>
        <w:spacing w:line="240" w:lineRule="auto"/>
        <w:ind w:left="1440"/>
        <w:jc w:val="both"/>
        <w:rPr>
          <w:b/>
          <w:sz w:val="28"/>
          <w:szCs w:val="28"/>
        </w:rPr>
      </w:pPr>
    </w:p>
    <w:p w:rsidR="00387F64" w:rsidRDefault="00387F64" w:rsidP="00387F64">
      <w:pPr>
        <w:spacing w:line="480" w:lineRule="auto"/>
        <w:jc w:val="both"/>
        <w:rPr>
          <w:sz w:val="28"/>
          <w:szCs w:val="28"/>
        </w:rPr>
      </w:pPr>
      <w:r>
        <w:rPr>
          <w:sz w:val="28"/>
          <w:szCs w:val="28"/>
        </w:rPr>
        <w:tab/>
        <w:t xml:space="preserve">Even ignoring arguments I(b)(i) and (ii), </w:t>
      </w:r>
      <w:r w:rsidR="00AF4905">
        <w:rPr>
          <w:sz w:val="28"/>
          <w:szCs w:val="28"/>
        </w:rPr>
        <w:t xml:space="preserve">RCS still did not have standing to foreclose the mortgage because the note was delivered to its undisclosed principal.  </w:t>
      </w:r>
      <w:r w:rsidR="00B648BF">
        <w:rPr>
          <w:sz w:val="28"/>
          <w:szCs w:val="28"/>
        </w:rPr>
        <w:lastRenderedPageBreak/>
        <w:t>As</w:t>
      </w:r>
      <w:r w:rsidR="00AF4905">
        <w:rPr>
          <w:sz w:val="28"/>
          <w:szCs w:val="28"/>
        </w:rPr>
        <w:t xml:space="preserve"> RCS was not the party whom the note was delivered to, it could not be considered the “holder” of the note.</w:t>
      </w:r>
    </w:p>
    <w:p w:rsidR="00AF4905" w:rsidRDefault="00AF4905" w:rsidP="00387F64">
      <w:pPr>
        <w:spacing w:line="480" w:lineRule="auto"/>
        <w:jc w:val="both"/>
        <w:rPr>
          <w:sz w:val="28"/>
          <w:szCs w:val="28"/>
        </w:rPr>
      </w:pPr>
      <w:r>
        <w:rPr>
          <w:sz w:val="28"/>
          <w:szCs w:val="28"/>
        </w:rPr>
        <w:tab/>
        <w:t>A “holder” of a negotiable instrument is defined as “[t]</w:t>
      </w:r>
      <w:r w:rsidRPr="00AF4905">
        <w:rPr>
          <w:sz w:val="28"/>
          <w:szCs w:val="28"/>
        </w:rPr>
        <w:t>he person in possession of a negotiable instrument that is payable either to bearer or to an identified person that is the person in possession</w:t>
      </w:r>
      <w:r>
        <w:rPr>
          <w:sz w:val="28"/>
          <w:szCs w:val="28"/>
        </w:rPr>
        <w:t>.”  Fla. Stat. §671.201(21)(a).</w:t>
      </w:r>
      <w:r>
        <w:rPr>
          <w:rStyle w:val="FootnoteReference"/>
          <w:sz w:val="28"/>
          <w:szCs w:val="28"/>
        </w:rPr>
        <w:footnoteReference w:id="4"/>
      </w:r>
      <w:r w:rsidR="008D5446">
        <w:rPr>
          <w:sz w:val="28"/>
          <w:szCs w:val="28"/>
        </w:rPr>
        <w:t xml:space="preserve">  The key term in this definition is “possession” which is not defined in either Florida law or the Uniform Commercial Code from which </w:t>
      </w:r>
      <w:r w:rsidR="00B648BF">
        <w:rPr>
          <w:sz w:val="28"/>
          <w:szCs w:val="28"/>
        </w:rPr>
        <w:t>Florida law</w:t>
      </w:r>
      <w:r w:rsidR="008D5446">
        <w:rPr>
          <w:sz w:val="28"/>
          <w:szCs w:val="28"/>
        </w:rPr>
        <w:t xml:space="preserve"> flow</w:t>
      </w:r>
      <w:r w:rsidR="00FE017B">
        <w:rPr>
          <w:sz w:val="28"/>
          <w:szCs w:val="28"/>
        </w:rPr>
        <w:t>s</w:t>
      </w:r>
      <w:r w:rsidR="008D5446">
        <w:rPr>
          <w:sz w:val="28"/>
          <w:szCs w:val="28"/>
        </w:rPr>
        <w:t xml:space="preserve"> from.</w:t>
      </w:r>
      <w:r w:rsidR="00E3678F">
        <w:rPr>
          <w:sz w:val="28"/>
          <w:szCs w:val="28"/>
        </w:rPr>
        <w:t xml:space="preserve">  “Possession” is therefore a fungible term which does not necessarily imply physical custody of the instrument.  Rather, it requires that the instrument was “negotiated” to the party claiming the right to enforce it.</w:t>
      </w:r>
    </w:p>
    <w:p w:rsidR="00E3678F" w:rsidRDefault="00E3678F" w:rsidP="00387F64">
      <w:pPr>
        <w:spacing w:line="480" w:lineRule="auto"/>
        <w:jc w:val="both"/>
        <w:rPr>
          <w:sz w:val="28"/>
          <w:szCs w:val="28"/>
        </w:rPr>
      </w:pPr>
      <w:r>
        <w:rPr>
          <w:sz w:val="28"/>
          <w:szCs w:val="28"/>
        </w:rPr>
        <w:tab/>
        <w:t>“Negotiation” of a “bearer instrument” (i.e. a negotiable promissory note endorsed in blank) occurs when there is a “transfer” of possession.  Fla. Stat. §673.2011(2).  A “transfer” occurs when the instrument is “delivered” to a person for the purpose of giving to the person receiving delivery the right to enforce the instrument.  Fla. Stat. §673.2031(1).</w:t>
      </w:r>
      <w:r w:rsidR="00D560B4">
        <w:rPr>
          <w:sz w:val="28"/>
          <w:szCs w:val="28"/>
        </w:rPr>
        <w:t xml:space="preserve">  Florida law clearly recognizes “constructive delivery” as a sufficient form of delivery even where there is no physical delivery </w:t>
      </w:r>
      <w:r w:rsidR="00D560B4">
        <w:rPr>
          <w:sz w:val="28"/>
          <w:szCs w:val="28"/>
        </w:rPr>
        <w:lastRenderedPageBreak/>
        <w:t xml:space="preserve">of the instrument itself.  </w:t>
      </w:r>
      <w:r w:rsidR="00D560B4">
        <w:rPr>
          <w:i/>
          <w:sz w:val="28"/>
          <w:szCs w:val="28"/>
        </w:rPr>
        <w:t>See</w:t>
      </w:r>
      <w:r w:rsidR="00B648BF">
        <w:rPr>
          <w:i/>
          <w:sz w:val="28"/>
          <w:szCs w:val="28"/>
        </w:rPr>
        <w:t xml:space="preserve"> e.g.</w:t>
      </w:r>
      <w:r w:rsidR="00D560B4">
        <w:rPr>
          <w:sz w:val="28"/>
          <w:szCs w:val="28"/>
        </w:rPr>
        <w:t xml:space="preserve"> </w:t>
      </w:r>
      <w:r w:rsidR="00D560B4" w:rsidRPr="00D560B4">
        <w:rPr>
          <w:i/>
          <w:sz w:val="28"/>
          <w:szCs w:val="28"/>
        </w:rPr>
        <w:t>Lawyers Title Insurance Company, Inc. v. Novastar Mortgage, Inc.</w:t>
      </w:r>
      <w:r w:rsidR="00D560B4">
        <w:rPr>
          <w:sz w:val="28"/>
          <w:szCs w:val="28"/>
        </w:rPr>
        <w:t xml:space="preserve">, 862 So. 2d 793, 798 (Fla. 4th DCA 2003). </w:t>
      </w:r>
    </w:p>
    <w:p w:rsidR="00D560B4" w:rsidRDefault="00D560B4" w:rsidP="00387F64">
      <w:pPr>
        <w:spacing w:line="480" w:lineRule="auto"/>
        <w:jc w:val="both"/>
        <w:rPr>
          <w:sz w:val="28"/>
          <w:szCs w:val="28"/>
        </w:rPr>
      </w:pPr>
      <w:r>
        <w:rPr>
          <w:sz w:val="28"/>
          <w:szCs w:val="28"/>
        </w:rPr>
        <w:tab/>
        <w:t xml:space="preserve">Recognizing constructive delivery is crucial in current times where promissory notes and the mortgages that secure payment on same are sold routinely </w:t>
      </w:r>
      <w:r w:rsidR="00B648BF">
        <w:rPr>
          <w:sz w:val="28"/>
          <w:szCs w:val="28"/>
        </w:rPr>
        <w:t xml:space="preserve">on the secondary market </w:t>
      </w:r>
      <w:r>
        <w:rPr>
          <w:sz w:val="28"/>
          <w:szCs w:val="28"/>
        </w:rPr>
        <w:t xml:space="preserve">without </w:t>
      </w:r>
      <w:r w:rsidR="00636BDC">
        <w:rPr>
          <w:sz w:val="28"/>
          <w:szCs w:val="28"/>
        </w:rPr>
        <w:t xml:space="preserve">the documents ever physically moving.  But even more important is recognizing that Florida’s law regarding negotiable instruments does not displace the law of agency.  </w:t>
      </w:r>
      <w:r w:rsidR="00636BDC" w:rsidRPr="00636BDC">
        <w:rPr>
          <w:i/>
          <w:sz w:val="28"/>
          <w:szCs w:val="28"/>
        </w:rPr>
        <w:t>See</w:t>
      </w:r>
      <w:r w:rsidR="00636BDC">
        <w:rPr>
          <w:sz w:val="28"/>
          <w:szCs w:val="28"/>
        </w:rPr>
        <w:t xml:space="preserve"> Fla. Stat. §671.103.  Consequently, the promissory note here was constructively delivered to RCS’s undisclosed principal (the party to whom the debt was owed).  RCS, then, only “held” the note for the benefit of this party.</w:t>
      </w:r>
    </w:p>
    <w:p w:rsidR="00636BDC" w:rsidRDefault="00636BDC" w:rsidP="00387F64">
      <w:pPr>
        <w:spacing w:line="480" w:lineRule="auto"/>
        <w:jc w:val="both"/>
        <w:rPr>
          <w:sz w:val="28"/>
          <w:szCs w:val="28"/>
        </w:rPr>
      </w:pPr>
      <w:r>
        <w:rPr>
          <w:sz w:val="28"/>
          <w:szCs w:val="28"/>
        </w:rPr>
        <w:tab/>
        <w:t>Since RCS was nothing more than an agent, it could not be granted “holder” status of the note because there was no transfer of possession to it.  The transfer of possession occurred when the original lender delivered, constructively o</w:t>
      </w:r>
      <w:r w:rsidR="00FE017B">
        <w:rPr>
          <w:sz w:val="28"/>
          <w:szCs w:val="28"/>
        </w:rPr>
        <w:t xml:space="preserve">r otherwise, the note to </w:t>
      </w:r>
      <w:r>
        <w:rPr>
          <w:sz w:val="28"/>
          <w:szCs w:val="28"/>
        </w:rPr>
        <w:t>RCS’s undisclosed principal.</w:t>
      </w:r>
    </w:p>
    <w:p w:rsidR="00C115DF" w:rsidRPr="00C115DF" w:rsidRDefault="00C115DF" w:rsidP="00387F64">
      <w:pPr>
        <w:spacing w:line="480" w:lineRule="auto"/>
        <w:jc w:val="both"/>
        <w:rPr>
          <w:sz w:val="28"/>
          <w:szCs w:val="28"/>
        </w:rPr>
      </w:pPr>
      <w:r>
        <w:rPr>
          <w:sz w:val="28"/>
          <w:szCs w:val="28"/>
        </w:rPr>
        <w:tab/>
        <w:t xml:space="preserve">Therefore, because both RCS and its predecessor plaintiff AHMSI were beholden </w:t>
      </w:r>
      <w:r w:rsidR="00FE017B">
        <w:rPr>
          <w:sz w:val="28"/>
          <w:szCs w:val="28"/>
        </w:rPr>
        <w:t>to their undisclosed principal vis-à-vis</w:t>
      </w:r>
      <w:r>
        <w:rPr>
          <w:sz w:val="28"/>
          <w:szCs w:val="28"/>
        </w:rPr>
        <w:t xml:space="preserve"> a servicing agreement</w:t>
      </w:r>
      <w:r w:rsidR="00B648BF">
        <w:rPr>
          <w:sz w:val="28"/>
          <w:szCs w:val="28"/>
        </w:rPr>
        <w:t xml:space="preserve"> that was never introduced into evidence</w:t>
      </w:r>
      <w:r>
        <w:rPr>
          <w:sz w:val="28"/>
          <w:szCs w:val="28"/>
        </w:rPr>
        <w:t>, neither party qualifies as the holder of the note.  The law of agency t</w:t>
      </w:r>
      <w:r w:rsidR="00FE017B">
        <w:rPr>
          <w:sz w:val="28"/>
          <w:szCs w:val="28"/>
        </w:rPr>
        <w:t>hus</w:t>
      </w:r>
      <w:r>
        <w:rPr>
          <w:sz w:val="28"/>
          <w:szCs w:val="28"/>
        </w:rPr>
        <w:t xml:space="preserve"> required, as a</w:t>
      </w:r>
      <w:r w:rsidR="007162A3">
        <w:rPr>
          <w:sz w:val="28"/>
          <w:szCs w:val="28"/>
        </w:rPr>
        <w:t xml:space="preserve">rgued </w:t>
      </w:r>
      <w:r w:rsidR="00E6158A">
        <w:rPr>
          <w:i/>
          <w:sz w:val="28"/>
          <w:szCs w:val="28"/>
        </w:rPr>
        <w:t>supra</w:t>
      </w:r>
      <w:r w:rsidR="007162A3">
        <w:rPr>
          <w:sz w:val="28"/>
          <w:szCs w:val="28"/>
        </w:rPr>
        <w:t xml:space="preserve"> in Argument I(a),</w:t>
      </w:r>
      <w:r>
        <w:rPr>
          <w:sz w:val="28"/>
          <w:szCs w:val="28"/>
        </w:rPr>
        <w:t xml:space="preserve"> that the principal join in or ratify their acts.  Since this was not done, RCS failed to prove its standing to sue.</w:t>
      </w:r>
    </w:p>
    <w:p w:rsidR="002104E6" w:rsidRPr="00B909A8" w:rsidRDefault="002104E6" w:rsidP="00CF70F7">
      <w:pPr>
        <w:pStyle w:val="ListParagraph"/>
        <w:numPr>
          <w:ilvl w:val="0"/>
          <w:numId w:val="1"/>
        </w:numPr>
        <w:spacing w:line="240" w:lineRule="auto"/>
        <w:jc w:val="both"/>
        <w:rPr>
          <w:rFonts w:ascii="Times New Roman Bold" w:hAnsi="Times New Roman Bold"/>
          <w:b/>
          <w:caps/>
          <w:sz w:val="28"/>
          <w:szCs w:val="28"/>
        </w:rPr>
      </w:pPr>
      <w:r w:rsidRPr="00B909A8">
        <w:rPr>
          <w:rFonts w:ascii="Times New Roman Bold" w:hAnsi="Times New Roman Bold"/>
          <w:b/>
          <w:caps/>
          <w:sz w:val="28"/>
          <w:szCs w:val="28"/>
        </w:rPr>
        <w:lastRenderedPageBreak/>
        <w:t xml:space="preserve">The trial court committed reversal error when it sustained </w:t>
      </w:r>
      <w:r w:rsidR="00C70DA5" w:rsidRPr="00B909A8">
        <w:rPr>
          <w:rFonts w:ascii="Times New Roman Bold" w:hAnsi="Times New Roman Bold"/>
          <w:b/>
          <w:caps/>
          <w:sz w:val="28"/>
          <w:szCs w:val="28"/>
        </w:rPr>
        <w:t>RCS</w:t>
      </w:r>
      <w:r w:rsidRPr="00B909A8">
        <w:rPr>
          <w:rFonts w:ascii="Times New Roman Bold" w:hAnsi="Times New Roman Bold"/>
          <w:b/>
          <w:caps/>
          <w:sz w:val="28"/>
          <w:szCs w:val="28"/>
        </w:rPr>
        <w:t xml:space="preserve">’s objection to the assignment </w:t>
      </w:r>
    </w:p>
    <w:p w:rsidR="00CF70F7" w:rsidRDefault="00CF70F7" w:rsidP="00CF70F7">
      <w:pPr>
        <w:pStyle w:val="ListParagraph"/>
        <w:spacing w:line="240" w:lineRule="auto"/>
        <w:ind w:left="1080"/>
        <w:jc w:val="both"/>
        <w:rPr>
          <w:b/>
          <w:sz w:val="28"/>
          <w:szCs w:val="28"/>
        </w:rPr>
      </w:pPr>
    </w:p>
    <w:p w:rsidR="00A41EE4" w:rsidRPr="001B06EF" w:rsidRDefault="00E6158A" w:rsidP="00E6158A">
      <w:pPr>
        <w:spacing w:line="480" w:lineRule="auto"/>
        <w:jc w:val="both"/>
        <w:rPr>
          <w:sz w:val="28"/>
          <w:szCs w:val="28"/>
        </w:rPr>
      </w:pPr>
      <w:r>
        <w:rPr>
          <w:b/>
          <w:sz w:val="28"/>
          <w:szCs w:val="28"/>
        </w:rPr>
        <w:tab/>
      </w:r>
      <w:r>
        <w:rPr>
          <w:sz w:val="28"/>
          <w:szCs w:val="28"/>
        </w:rPr>
        <w:t xml:space="preserve">When the trial court sustained RCS’s objection to the assignment on relevance grounds, </w:t>
      </w:r>
      <w:r w:rsidR="000A4CFE">
        <w:rPr>
          <w:sz w:val="28"/>
          <w:szCs w:val="28"/>
        </w:rPr>
        <w:t xml:space="preserve">it committed </w:t>
      </w:r>
      <w:r w:rsidR="00A41EE4">
        <w:rPr>
          <w:sz w:val="28"/>
          <w:szCs w:val="28"/>
        </w:rPr>
        <w:t>reversal error because the court</w:t>
      </w:r>
      <w:r>
        <w:rPr>
          <w:sz w:val="28"/>
          <w:szCs w:val="28"/>
        </w:rPr>
        <w:t xml:space="preserve"> refused to admit evidence which ten</w:t>
      </w:r>
      <w:r w:rsidR="00A41EE4">
        <w:rPr>
          <w:sz w:val="28"/>
          <w:szCs w:val="28"/>
        </w:rPr>
        <w:t xml:space="preserve">ded to disprove a material fact.  </w:t>
      </w:r>
      <w:r w:rsidR="00493D79">
        <w:rPr>
          <w:sz w:val="28"/>
          <w:szCs w:val="28"/>
        </w:rPr>
        <w:t>T</w:t>
      </w:r>
      <w:r w:rsidR="00A41EE4">
        <w:rPr>
          <w:sz w:val="28"/>
          <w:szCs w:val="28"/>
        </w:rPr>
        <w:t xml:space="preserve">he assignment was a self-authenticating document </w:t>
      </w:r>
      <w:r w:rsidR="000A4CFE">
        <w:rPr>
          <w:sz w:val="28"/>
          <w:szCs w:val="28"/>
        </w:rPr>
        <w:t>since</w:t>
      </w:r>
      <w:r w:rsidR="00A41EE4">
        <w:rPr>
          <w:sz w:val="28"/>
          <w:szCs w:val="28"/>
        </w:rPr>
        <w:t xml:space="preserve"> it was a certified copy of an official public record.  Fla. Stat. §90.902(4).  Consequently, there was no need for preliminary testimony to establish that the assignment was what it purported to be.  </w:t>
      </w:r>
      <w:r w:rsidR="001B06EF">
        <w:rPr>
          <w:i/>
          <w:sz w:val="28"/>
          <w:szCs w:val="28"/>
        </w:rPr>
        <w:t>See</w:t>
      </w:r>
      <w:r w:rsidR="001B06EF">
        <w:rPr>
          <w:sz w:val="28"/>
          <w:szCs w:val="28"/>
        </w:rPr>
        <w:t xml:space="preserve"> C. Ehrhardt, </w:t>
      </w:r>
      <w:r w:rsidR="001B06EF" w:rsidRPr="001B06EF">
        <w:rPr>
          <w:i/>
          <w:sz w:val="28"/>
          <w:szCs w:val="28"/>
        </w:rPr>
        <w:t>Florida Evidence</w:t>
      </w:r>
      <w:r w:rsidR="001B06EF">
        <w:rPr>
          <w:sz w:val="28"/>
          <w:szCs w:val="28"/>
        </w:rPr>
        <w:t xml:space="preserve"> §902.1 (2010 ed.) (providing that “[b]oth courts and the legislature have recognized a number of exceptions to the requirement that counsel call a witness…to prove that a proffered document is authentic.  In these situations, the document itself discloses sufficient information to be admitted without further proof of its genuineness, and is said to be ‘self-authenticating.’”)</w:t>
      </w:r>
    </w:p>
    <w:p w:rsidR="00791073" w:rsidRDefault="00A41EE4" w:rsidP="00E6158A">
      <w:pPr>
        <w:spacing w:line="480" w:lineRule="auto"/>
        <w:jc w:val="both"/>
        <w:rPr>
          <w:sz w:val="28"/>
          <w:szCs w:val="28"/>
        </w:rPr>
      </w:pPr>
      <w:r>
        <w:rPr>
          <w:sz w:val="28"/>
          <w:szCs w:val="28"/>
        </w:rPr>
        <w:tab/>
        <w:t xml:space="preserve"> </w:t>
      </w:r>
      <w:r w:rsidR="001B06EF">
        <w:rPr>
          <w:sz w:val="28"/>
          <w:szCs w:val="28"/>
        </w:rPr>
        <w:t xml:space="preserve">The assignment also met the evidentiary test for “relevancy” because it tended to disprove a material fact proffered by the AHMSI witness: that AHMSI “possessed” the note prior to the commencement of the action.  </w:t>
      </w:r>
      <w:r w:rsidR="00791073">
        <w:rPr>
          <w:sz w:val="28"/>
          <w:szCs w:val="28"/>
        </w:rPr>
        <w:t>Additionally</w:t>
      </w:r>
      <w:r w:rsidR="001B06EF">
        <w:rPr>
          <w:sz w:val="28"/>
          <w:szCs w:val="28"/>
        </w:rPr>
        <w:t>,</w:t>
      </w:r>
      <w:r w:rsidR="00791073">
        <w:rPr>
          <w:sz w:val="28"/>
          <w:szCs w:val="28"/>
        </w:rPr>
        <w:t xml:space="preserve"> the probative value of the assignment greatly outweighed any </w:t>
      </w:r>
      <w:r w:rsidR="00791073" w:rsidRPr="00791073">
        <w:rPr>
          <w:sz w:val="28"/>
          <w:szCs w:val="28"/>
        </w:rPr>
        <w:t xml:space="preserve">danger of unfair prejudice, confusion of the issues, misleading the </w:t>
      </w:r>
      <w:r w:rsidR="00791073">
        <w:rPr>
          <w:sz w:val="28"/>
          <w:szCs w:val="28"/>
        </w:rPr>
        <w:t>fact-finder</w:t>
      </w:r>
      <w:r w:rsidR="00791073" w:rsidRPr="00791073">
        <w:rPr>
          <w:sz w:val="28"/>
          <w:szCs w:val="28"/>
        </w:rPr>
        <w:t>, or needless presentation of cumulative evidence</w:t>
      </w:r>
      <w:r w:rsidR="00791073">
        <w:rPr>
          <w:sz w:val="28"/>
          <w:szCs w:val="28"/>
        </w:rPr>
        <w:t>.  Finally, excluding the assignment was not a “harmless” error because it is reasonably probable that Homeowners would have obtained a more favorable judgment without the error.</w:t>
      </w:r>
    </w:p>
    <w:p w:rsidR="00E6158A" w:rsidRPr="00E6158A" w:rsidRDefault="00791073" w:rsidP="00E6158A">
      <w:pPr>
        <w:spacing w:line="480" w:lineRule="auto"/>
        <w:jc w:val="both"/>
        <w:rPr>
          <w:sz w:val="28"/>
          <w:szCs w:val="28"/>
        </w:rPr>
      </w:pPr>
      <w:r>
        <w:rPr>
          <w:sz w:val="28"/>
          <w:szCs w:val="28"/>
        </w:rPr>
        <w:lastRenderedPageBreak/>
        <w:tab/>
        <w:t>Therefore, it was reversal error for the trial court to exclude the assignment.</w:t>
      </w:r>
      <w:r w:rsidR="001B06EF">
        <w:rPr>
          <w:sz w:val="28"/>
          <w:szCs w:val="28"/>
        </w:rPr>
        <w:t xml:space="preserve"> </w:t>
      </w:r>
    </w:p>
    <w:p w:rsidR="00CE24F9" w:rsidRDefault="00CE24F9" w:rsidP="00791073">
      <w:pPr>
        <w:pStyle w:val="ListParagraph"/>
        <w:numPr>
          <w:ilvl w:val="0"/>
          <w:numId w:val="8"/>
        </w:numPr>
        <w:spacing w:line="240" w:lineRule="auto"/>
        <w:jc w:val="both"/>
        <w:rPr>
          <w:b/>
          <w:sz w:val="28"/>
          <w:szCs w:val="28"/>
        </w:rPr>
      </w:pPr>
      <w:r>
        <w:rPr>
          <w:b/>
          <w:sz w:val="28"/>
          <w:szCs w:val="28"/>
        </w:rPr>
        <w:t>The assignment tended to disprove a material fact – that AHMSI “possessed” the note at the inception of the action</w:t>
      </w:r>
    </w:p>
    <w:p w:rsidR="00791073" w:rsidRDefault="00791073" w:rsidP="00791073">
      <w:pPr>
        <w:pStyle w:val="ListParagraph"/>
        <w:spacing w:line="240" w:lineRule="auto"/>
        <w:ind w:left="1440"/>
        <w:jc w:val="both"/>
        <w:rPr>
          <w:b/>
          <w:sz w:val="28"/>
          <w:szCs w:val="28"/>
        </w:rPr>
      </w:pPr>
    </w:p>
    <w:p w:rsidR="00791073" w:rsidRDefault="00791073" w:rsidP="00791073">
      <w:pPr>
        <w:spacing w:line="480" w:lineRule="auto"/>
        <w:jc w:val="both"/>
        <w:rPr>
          <w:sz w:val="28"/>
          <w:szCs w:val="28"/>
        </w:rPr>
      </w:pPr>
      <w:r>
        <w:rPr>
          <w:sz w:val="28"/>
          <w:szCs w:val="28"/>
        </w:rPr>
        <w:tab/>
        <w:t xml:space="preserve">Because the assignment tended to disprove that AHMSI possessed the note prior to the commencement of the action (and thereby tended to prove that AHMSI did not garner standing until after the lawsuit was filed), the assignment was a relevant piece of evidence which should have been introduced.  </w:t>
      </w:r>
    </w:p>
    <w:p w:rsidR="00791073" w:rsidRDefault="00CF70F7" w:rsidP="00791073">
      <w:pPr>
        <w:spacing w:line="480" w:lineRule="auto"/>
        <w:jc w:val="both"/>
        <w:rPr>
          <w:sz w:val="28"/>
          <w:szCs w:val="28"/>
        </w:rPr>
      </w:pPr>
      <w:r>
        <w:rPr>
          <w:sz w:val="28"/>
          <w:szCs w:val="28"/>
        </w:rPr>
        <w:tab/>
        <w:t xml:space="preserve">Relevant evidence is evidence “tending to prove or disprove a material fact,” Fla. Stat. §90.401, and “all relevant evidence is admissible, except as provided by law.”  Fla. Stat. §90.402.  The material fact sought to be proven by RCS (and disproven by Homeowners), was that RCS’s predecessor AHMSI “possessed” the note prior to commencement of the action.  </w:t>
      </w:r>
      <w:r>
        <w:rPr>
          <w:i/>
          <w:sz w:val="28"/>
          <w:szCs w:val="28"/>
        </w:rPr>
        <w:t>See</w:t>
      </w:r>
      <w:r>
        <w:rPr>
          <w:sz w:val="28"/>
          <w:szCs w:val="28"/>
        </w:rPr>
        <w:t xml:space="preserve"> </w:t>
      </w:r>
      <w:r w:rsidRPr="00CF70F7">
        <w:rPr>
          <w:i/>
          <w:sz w:val="28"/>
          <w:szCs w:val="28"/>
        </w:rPr>
        <w:t>Country Place Cmty. Ass’n v. J.P. Morgan Mortg. Acquisition Corp.</w:t>
      </w:r>
      <w:r w:rsidRPr="00CF70F7">
        <w:rPr>
          <w:sz w:val="28"/>
          <w:szCs w:val="28"/>
        </w:rPr>
        <w:t xml:space="preserve">, 51 So. 3d 1176, 1179 (Fla. 2d DCA 2010) (“Because J.P. Morgan did not own or possess the note and mortgage when it filed its lawsuit, it lacked standing to </w:t>
      </w:r>
      <w:r>
        <w:rPr>
          <w:sz w:val="28"/>
          <w:szCs w:val="28"/>
        </w:rPr>
        <w:t>maintain the foreclosure action</w:t>
      </w:r>
      <w:r w:rsidRPr="00CF70F7">
        <w:rPr>
          <w:sz w:val="28"/>
          <w:szCs w:val="28"/>
        </w:rPr>
        <w:t>”)</w:t>
      </w:r>
      <w:r>
        <w:rPr>
          <w:sz w:val="28"/>
          <w:szCs w:val="28"/>
        </w:rPr>
        <w:t xml:space="preserve">; </w:t>
      </w:r>
      <w:r w:rsidRPr="00CF70F7">
        <w:rPr>
          <w:i/>
          <w:sz w:val="28"/>
          <w:szCs w:val="28"/>
        </w:rPr>
        <w:t>Jeff-Ray Corp. v. Jacobson</w:t>
      </w:r>
      <w:r w:rsidRPr="00CF70F7">
        <w:rPr>
          <w:sz w:val="28"/>
          <w:szCs w:val="28"/>
        </w:rPr>
        <w:t>, 566 So. 2d 885, 886 (Fla. 4th DCA 1990) (holding that a foreclosure complaint failed to state a cause of action where plaintiffs relied on assignment of mortgage that was dated four months after the lawsuit was filed)</w:t>
      </w:r>
      <w:r>
        <w:rPr>
          <w:sz w:val="28"/>
          <w:szCs w:val="28"/>
        </w:rPr>
        <w:t xml:space="preserve">.  </w:t>
      </w:r>
      <w:r>
        <w:rPr>
          <w:i/>
          <w:sz w:val="28"/>
          <w:szCs w:val="28"/>
        </w:rPr>
        <w:t xml:space="preserve">See also </w:t>
      </w:r>
      <w:r w:rsidR="000A4CFE">
        <w:rPr>
          <w:i/>
          <w:sz w:val="28"/>
          <w:szCs w:val="28"/>
        </w:rPr>
        <w:t xml:space="preserve">generally </w:t>
      </w:r>
      <w:r>
        <w:rPr>
          <w:i/>
          <w:sz w:val="28"/>
          <w:szCs w:val="28"/>
        </w:rPr>
        <w:t>Progressive Exp. v. McGrath Chiropractic</w:t>
      </w:r>
      <w:r>
        <w:rPr>
          <w:sz w:val="28"/>
          <w:szCs w:val="28"/>
        </w:rPr>
        <w:t>, 913 So. 2d 1281, 1285 (Fla. 2d DCA 2005) (providing, that a “</w:t>
      </w:r>
      <w:r w:rsidRPr="00CF70F7">
        <w:rPr>
          <w:sz w:val="28"/>
          <w:szCs w:val="28"/>
        </w:rPr>
        <w:t xml:space="preserve">plaintiff's lack of standing at the inception of the </w:t>
      </w:r>
      <w:r w:rsidRPr="00CF70F7">
        <w:rPr>
          <w:sz w:val="28"/>
          <w:szCs w:val="28"/>
        </w:rPr>
        <w:lastRenderedPageBreak/>
        <w:t>case is not a defect that may be cured by the acquisition of standing after the case is filed.</w:t>
      </w:r>
      <w:r w:rsidR="002C0B78">
        <w:rPr>
          <w:sz w:val="28"/>
          <w:szCs w:val="28"/>
        </w:rPr>
        <w:t>”)</w:t>
      </w:r>
    </w:p>
    <w:p w:rsidR="000809C5" w:rsidRDefault="002C0B78" w:rsidP="00791073">
      <w:pPr>
        <w:spacing w:line="480" w:lineRule="auto"/>
        <w:jc w:val="both"/>
        <w:rPr>
          <w:sz w:val="28"/>
          <w:szCs w:val="28"/>
        </w:rPr>
      </w:pPr>
      <w:r>
        <w:rPr>
          <w:sz w:val="28"/>
          <w:szCs w:val="28"/>
        </w:rPr>
        <w:tab/>
      </w:r>
      <w:r w:rsidR="00543083">
        <w:rPr>
          <w:sz w:val="28"/>
          <w:szCs w:val="28"/>
        </w:rPr>
        <w:t xml:space="preserve">At trial, RCS argued the assignment was irrelevant on its face merely because “[s]tanding is who held possession of the note on the date of the filing.”  </w:t>
      </w:r>
      <w:r w:rsidR="000A4CFE">
        <w:rPr>
          <w:sz w:val="28"/>
          <w:szCs w:val="28"/>
        </w:rPr>
        <w:t>[T. 135]</w:t>
      </w:r>
      <w:r w:rsidR="00543083">
        <w:rPr>
          <w:sz w:val="28"/>
          <w:szCs w:val="28"/>
        </w:rPr>
        <w:t xml:space="preserve">.  However, as explained in Argument I(c), “possession” is a fungible term that requires the delivery of a negotiable instrument.  Assuming that the promissory note was negotiable and that negotiation of the note could transfer “in equity” the terms of the mortgage, the assignment was evidence of a possible “delivery” of those documents to AHMSI.  </w:t>
      </w:r>
    </w:p>
    <w:p w:rsidR="002C0B78" w:rsidRPr="00CF70F7" w:rsidRDefault="000809C5" w:rsidP="00791073">
      <w:pPr>
        <w:spacing w:line="480" w:lineRule="auto"/>
        <w:jc w:val="both"/>
        <w:rPr>
          <w:sz w:val="28"/>
          <w:szCs w:val="28"/>
        </w:rPr>
      </w:pPr>
      <w:r>
        <w:rPr>
          <w:sz w:val="28"/>
          <w:szCs w:val="28"/>
        </w:rPr>
        <w:tab/>
      </w:r>
      <w:r w:rsidR="00543083">
        <w:rPr>
          <w:sz w:val="28"/>
          <w:szCs w:val="28"/>
        </w:rPr>
        <w:t>Thus, b</w:t>
      </w:r>
      <w:r w:rsidR="00CD54EA">
        <w:rPr>
          <w:sz w:val="28"/>
          <w:szCs w:val="28"/>
        </w:rPr>
        <w:t xml:space="preserve">ecause the assignment was dated after the action was filed </w:t>
      </w:r>
      <w:r w:rsidR="000A4CFE">
        <w:rPr>
          <w:sz w:val="28"/>
          <w:szCs w:val="28"/>
        </w:rPr>
        <w:t>[T. 579-580]</w:t>
      </w:r>
      <w:r w:rsidR="00CD54EA">
        <w:rPr>
          <w:sz w:val="28"/>
          <w:szCs w:val="28"/>
        </w:rPr>
        <w:t>, it tended to disprove that AHMSI “possessed” the note prior to the inception of the lawsuit</w:t>
      </w:r>
      <w:r w:rsidR="00543083">
        <w:rPr>
          <w:sz w:val="28"/>
          <w:szCs w:val="28"/>
        </w:rPr>
        <w:t>.</w:t>
      </w:r>
    </w:p>
    <w:p w:rsidR="00791073" w:rsidRDefault="00791073" w:rsidP="00693319">
      <w:pPr>
        <w:pStyle w:val="ListParagraph"/>
        <w:numPr>
          <w:ilvl w:val="0"/>
          <w:numId w:val="8"/>
        </w:numPr>
        <w:spacing w:line="240" w:lineRule="auto"/>
        <w:jc w:val="both"/>
        <w:rPr>
          <w:b/>
          <w:sz w:val="28"/>
          <w:szCs w:val="28"/>
        </w:rPr>
      </w:pPr>
      <w:r>
        <w:rPr>
          <w:b/>
          <w:sz w:val="28"/>
          <w:szCs w:val="28"/>
        </w:rPr>
        <w:t>The probative value of the assignment outweighed any</w:t>
      </w:r>
      <w:r w:rsidR="00693319">
        <w:rPr>
          <w:b/>
          <w:sz w:val="28"/>
          <w:szCs w:val="28"/>
        </w:rPr>
        <w:t xml:space="preserve"> argument against introduction</w:t>
      </w:r>
    </w:p>
    <w:p w:rsidR="00693319" w:rsidRDefault="00693319" w:rsidP="00693319">
      <w:pPr>
        <w:pStyle w:val="ListParagraph"/>
        <w:spacing w:line="240" w:lineRule="auto"/>
        <w:ind w:left="1440"/>
        <w:jc w:val="both"/>
        <w:rPr>
          <w:b/>
          <w:sz w:val="28"/>
          <w:szCs w:val="28"/>
        </w:rPr>
      </w:pPr>
    </w:p>
    <w:p w:rsidR="00693319" w:rsidRDefault="00693319" w:rsidP="00693319">
      <w:pPr>
        <w:spacing w:line="480" w:lineRule="auto"/>
        <w:jc w:val="both"/>
        <w:rPr>
          <w:sz w:val="28"/>
          <w:szCs w:val="28"/>
        </w:rPr>
      </w:pPr>
      <w:r>
        <w:rPr>
          <w:sz w:val="28"/>
          <w:szCs w:val="28"/>
        </w:rPr>
        <w:tab/>
        <w:t xml:space="preserve">While RCS failed to argue this below, there was no </w:t>
      </w:r>
      <w:r w:rsidRPr="00791073">
        <w:rPr>
          <w:sz w:val="28"/>
          <w:szCs w:val="28"/>
        </w:rPr>
        <w:t xml:space="preserve">danger of unfair prejudice, confusion of the issues, misleading the </w:t>
      </w:r>
      <w:r>
        <w:rPr>
          <w:sz w:val="28"/>
          <w:szCs w:val="28"/>
        </w:rPr>
        <w:t>fact-finder</w:t>
      </w:r>
      <w:r w:rsidRPr="00791073">
        <w:rPr>
          <w:sz w:val="28"/>
          <w:szCs w:val="28"/>
        </w:rPr>
        <w:t>, or needless presentation of cumulative evidence</w:t>
      </w:r>
      <w:r>
        <w:rPr>
          <w:sz w:val="28"/>
          <w:szCs w:val="28"/>
        </w:rPr>
        <w:t xml:space="preserve"> in introducing the assignment.  </w:t>
      </w:r>
    </w:p>
    <w:p w:rsidR="00693319" w:rsidRDefault="00693319" w:rsidP="00693319">
      <w:pPr>
        <w:spacing w:line="480" w:lineRule="auto"/>
        <w:jc w:val="both"/>
        <w:rPr>
          <w:sz w:val="28"/>
          <w:szCs w:val="28"/>
        </w:rPr>
      </w:pPr>
      <w:r>
        <w:rPr>
          <w:sz w:val="28"/>
          <w:szCs w:val="28"/>
        </w:rPr>
        <w:tab/>
        <w:t xml:space="preserve">A trial court’s discretion to exclude relevant evidence may be exercised </w:t>
      </w:r>
      <w:r w:rsidRPr="00693319">
        <w:rPr>
          <w:b/>
          <w:sz w:val="28"/>
          <w:szCs w:val="28"/>
        </w:rPr>
        <w:t>only</w:t>
      </w:r>
      <w:r>
        <w:rPr>
          <w:sz w:val="28"/>
          <w:szCs w:val="28"/>
        </w:rPr>
        <w:t xml:space="preserve"> if the evidence’s “probative value is </w:t>
      </w:r>
      <w:r w:rsidRPr="00693319">
        <w:rPr>
          <w:b/>
          <w:sz w:val="28"/>
          <w:szCs w:val="28"/>
        </w:rPr>
        <w:t>substantially outweighed</w:t>
      </w:r>
      <w:r>
        <w:rPr>
          <w:sz w:val="28"/>
          <w:szCs w:val="28"/>
        </w:rPr>
        <w:t xml:space="preserve"> </w:t>
      </w:r>
      <w:r w:rsidRPr="00693319">
        <w:rPr>
          <w:sz w:val="28"/>
          <w:szCs w:val="28"/>
        </w:rPr>
        <w:t xml:space="preserve">by the danger of unfair prejudice, confusion of the issues, misleading the jury, or needless </w:t>
      </w:r>
      <w:r w:rsidRPr="00693319">
        <w:rPr>
          <w:sz w:val="28"/>
          <w:szCs w:val="28"/>
        </w:rPr>
        <w:lastRenderedPageBreak/>
        <w:t>prese</w:t>
      </w:r>
      <w:r>
        <w:rPr>
          <w:sz w:val="28"/>
          <w:szCs w:val="28"/>
        </w:rPr>
        <w:t>ntation of cumulative evidence.”  Fla. Stat. §90.403.  (Bold emphasis added).  As Professor Ehrhardt explains</w:t>
      </w:r>
    </w:p>
    <w:p w:rsidR="00693319" w:rsidRDefault="00693319" w:rsidP="000809C5">
      <w:pPr>
        <w:spacing w:line="240" w:lineRule="auto"/>
        <w:ind w:left="720" w:right="720"/>
        <w:jc w:val="both"/>
        <w:rPr>
          <w:sz w:val="28"/>
          <w:szCs w:val="28"/>
        </w:rPr>
      </w:pPr>
      <w:r>
        <w:rPr>
          <w:sz w:val="28"/>
          <w:szCs w:val="28"/>
        </w:rPr>
        <w:t>[i]n undertaking this balancing, the trial judge may consider the need for the particular evidence, the availability of alter</w:t>
      </w:r>
      <w:r w:rsidR="000809C5">
        <w:rPr>
          <w:sz w:val="28"/>
          <w:szCs w:val="28"/>
        </w:rPr>
        <w:t xml:space="preserve">native means of proof, and the likelihood that the jury will follow a limiting instruction by the court.  </w:t>
      </w:r>
    </w:p>
    <w:p w:rsidR="000809C5" w:rsidRDefault="000809C5" w:rsidP="000809C5">
      <w:pPr>
        <w:spacing w:line="240" w:lineRule="auto"/>
        <w:ind w:left="720" w:right="720"/>
        <w:jc w:val="both"/>
        <w:rPr>
          <w:sz w:val="28"/>
          <w:szCs w:val="28"/>
        </w:rPr>
      </w:pPr>
    </w:p>
    <w:p w:rsidR="000809C5" w:rsidRDefault="000809C5" w:rsidP="00693319">
      <w:pPr>
        <w:spacing w:line="480" w:lineRule="auto"/>
        <w:jc w:val="both"/>
        <w:rPr>
          <w:sz w:val="28"/>
          <w:szCs w:val="28"/>
        </w:rPr>
      </w:pPr>
      <w:r>
        <w:rPr>
          <w:sz w:val="28"/>
          <w:szCs w:val="28"/>
        </w:rPr>
        <w:t xml:space="preserve">C. Ehrhardt, </w:t>
      </w:r>
      <w:r w:rsidRPr="001B06EF">
        <w:rPr>
          <w:i/>
          <w:sz w:val="28"/>
          <w:szCs w:val="28"/>
        </w:rPr>
        <w:t>Florida Evidence</w:t>
      </w:r>
      <w:r>
        <w:rPr>
          <w:sz w:val="28"/>
          <w:szCs w:val="28"/>
        </w:rPr>
        <w:t xml:space="preserve"> §403.1 (2010 ed.).</w:t>
      </w:r>
    </w:p>
    <w:p w:rsidR="000809C5" w:rsidRPr="00693319" w:rsidRDefault="000809C5" w:rsidP="00693319">
      <w:pPr>
        <w:spacing w:line="480" w:lineRule="auto"/>
        <w:jc w:val="both"/>
        <w:rPr>
          <w:sz w:val="28"/>
          <w:szCs w:val="28"/>
        </w:rPr>
      </w:pPr>
      <w:r>
        <w:rPr>
          <w:sz w:val="28"/>
          <w:szCs w:val="28"/>
        </w:rPr>
        <w:tab/>
        <w:t xml:space="preserve">Not only was there no objection made by RCS at trial that the assignment should be excluded under §90.403, but none of the reasons for exclusions given by the rule were even present.  There was no unfair prejudice to RCS, no confusion of the issues, no jury to mislead, or any needless presentation of cumulative evidence.  </w:t>
      </w:r>
      <w:r>
        <w:rPr>
          <w:sz w:val="28"/>
          <w:szCs w:val="28"/>
        </w:rPr>
        <w:tab/>
        <w:t>As a result, the probative value of the assignment was not substantially outweighed by any argument against its introduction.</w:t>
      </w:r>
    </w:p>
    <w:p w:rsidR="00CE24F9" w:rsidRDefault="000809C5" w:rsidP="000809C5">
      <w:pPr>
        <w:pStyle w:val="ListParagraph"/>
        <w:numPr>
          <w:ilvl w:val="0"/>
          <w:numId w:val="8"/>
        </w:numPr>
        <w:spacing w:line="240" w:lineRule="auto"/>
        <w:jc w:val="both"/>
        <w:rPr>
          <w:b/>
          <w:sz w:val="28"/>
          <w:szCs w:val="28"/>
        </w:rPr>
      </w:pPr>
      <w:r>
        <w:rPr>
          <w:b/>
          <w:sz w:val="28"/>
          <w:szCs w:val="28"/>
        </w:rPr>
        <w:t>Refusing to admit the relevant assignment</w:t>
      </w:r>
      <w:r w:rsidR="00CE24F9">
        <w:rPr>
          <w:b/>
          <w:sz w:val="28"/>
          <w:szCs w:val="28"/>
        </w:rPr>
        <w:t xml:space="preserve"> was not </w:t>
      </w:r>
      <w:r>
        <w:rPr>
          <w:b/>
          <w:sz w:val="28"/>
          <w:szCs w:val="28"/>
        </w:rPr>
        <w:t xml:space="preserve">a </w:t>
      </w:r>
      <w:r w:rsidR="00CE24F9">
        <w:rPr>
          <w:b/>
          <w:sz w:val="28"/>
          <w:szCs w:val="28"/>
        </w:rPr>
        <w:t xml:space="preserve">harmless </w:t>
      </w:r>
      <w:r>
        <w:rPr>
          <w:b/>
          <w:sz w:val="28"/>
          <w:szCs w:val="28"/>
        </w:rPr>
        <w:t>error</w:t>
      </w:r>
    </w:p>
    <w:p w:rsidR="000809C5" w:rsidRDefault="000809C5" w:rsidP="000809C5">
      <w:pPr>
        <w:pStyle w:val="ListParagraph"/>
        <w:spacing w:line="240" w:lineRule="auto"/>
        <w:ind w:left="1440"/>
        <w:jc w:val="both"/>
        <w:rPr>
          <w:b/>
          <w:sz w:val="28"/>
          <w:szCs w:val="28"/>
        </w:rPr>
      </w:pPr>
    </w:p>
    <w:p w:rsidR="000809C5" w:rsidRDefault="000809C5" w:rsidP="000809C5">
      <w:pPr>
        <w:spacing w:line="480" w:lineRule="auto"/>
        <w:jc w:val="both"/>
        <w:rPr>
          <w:sz w:val="28"/>
          <w:szCs w:val="28"/>
        </w:rPr>
      </w:pPr>
      <w:r>
        <w:rPr>
          <w:sz w:val="28"/>
          <w:szCs w:val="28"/>
        </w:rPr>
        <w:tab/>
        <w:t xml:space="preserve">Finally, refusing to admit the assignment was not a harmless error because it was reasonably probable that Homeowners would have obtained a more favorable judgment without the error.  </w:t>
      </w:r>
    </w:p>
    <w:p w:rsidR="000809C5" w:rsidRDefault="000809C5" w:rsidP="000809C5">
      <w:pPr>
        <w:spacing w:line="480" w:lineRule="auto"/>
        <w:jc w:val="both"/>
        <w:rPr>
          <w:sz w:val="28"/>
          <w:szCs w:val="28"/>
        </w:rPr>
      </w:pPr>
      <w:r>
        <w:rPr>
          <w:sz w:val="28"/>
          <w:szCs w:val="28"/>
        </w:rPr>
        <w:tab/>
        <w:t xml:space="preserve">Florida Statute Section 59.041 provides, in pertinent part, that </w:t>
      </w:r>
    </w:p>
    <w:p w:rsidR="000809C5" w:rsidRDefault="000809C5" w:rsidP="00643D79">
      <w:pPr>
        <w:spacing w:line="240" w:lineRule="auto"/>
        <w:ind w:left="720" w:right="720"/>
        <w:jc w:val="both"/>
        <w:rPr>
          <w:sz w:val="28"/>
          <w:szCs w:val="28"/>
        </w:rPr>
      </w:pPr>
      <w:r>
        <w:rPr>
          <w:sz w:val="28"/>
          <w:szCs w:val="28"/>
        </w:rPr>
        <w:t>[n]o judgment shall be set aside or reversed…on the ground of…rejection of evidence…unless in the opinion of the court to which application is made after an examination of the entire case it shall appear that the error complained of has resulted in a miscarriage of justice.</w:t>
      </w:r>
    </w:p>
    <w:p w:rsidR="00643D79" w:rsidRDefault="00643D79" w:rsidP="00643D79">
      <w:pPr>
        <w:spacing w:line="240" w:lineRule="auto"/>
        <w:ind w:left="720" w:right="720"/>
        <w:jc w:val="both"/>
        <w:rPr>
          <w:sz w:val="28"/>
          <w:szCs w:val="28"/>
        </w:rPr>
      </w:pPr>
    </w:p>
    <w:p w:rsidR="000809C5" w:rsidRDefault="000809C5" w:rsidP="000809C5">
      <w:pPr>
        <w:spacing w:line="480" w:lineRule="auto"/>
        <w:jc w:val="both"/>
        <w:rPr>
          <w:sz w:val="28"/>
          <w:szCs w:val="28"/>
        </w:rPr>
      </w:pPr>
      <w:r>
        <w:rPr>
          <w:sz w:val="28"/>
          <w:szCs w:val="28"/>
        </w:rPr>
        <w:lastRenderedPageBreak/>
        <w:t xml:space="preserve">The test that this Court has articulated in determining this “harmless error” standard is whether it is reasonably probable that the party would have obtained a more favorable </w:t>
      </w:r>
      <w:r w:rsidR="00643D79">
        <w:rPr>
          <w:sz w:val="28"/>
          <w:szCs w:val="28"/>
        </w:rPr>
        <w:t>result</w:t>
      </w:r>
      <w:r>
        <w:rPr>
          <w:sz w:val="28"/>
          <w:szCs w:val="28"/>
        </w:rPr>
        <w:t xml:space="preserve"> without the error.  </w:t>
      </w:r>
      <w:r w:rsidR="00643D79" w:rsidRPr="00643D79">
        <w:rPr>
          <w:i/>
          <w:iCs/>
          <w:sz w:val="28"/>
          <w:szCs w:val="28"/>
        </w:rPr>
        <w:t>See In re Commitment of DeBolt</w:t>
      </w:r>
      <w:r w:rsidR="00643D79" w:rsidRPr="00643D79">
        <w:rPr>
          <w:sz w:val="28"/>
          <w:szCs w:val="28"/>
        </w:rPr>
        <w:t xml:space="preserve">, 19 So. 3d 335 (Fla. 2d DCA 2009); </w:t>
      </w:r>
      <w:r w:rsidR="00643D79" w:rsidRPr="00643D79">
        <w:rPr>
          <w:i/>
          <w:iCs/>
          <w:sz w:val="28"/>
          <w:szCs w:val="28"/>
        </w:rPr>
        <w:t>Esaw v. Esaw</w:t>
      </w:r>
      <w:r w:rsidR="00643D79" w:rsidRPr="00643D79">
        <w:rPr>
          <w:sz w:val="28"/>
          <w:szCs w:val="28"/>
        </w:rPr>
        <w:t xml:space="preserve">, 965 So. 2d 1261 (Fla. 2d DCA 2007); </w:t>
      </w:r>
      <w:r w:rsidR="00643D79" w:rsidRPr="00643D79">
        <w:rPr>
          <w:i/>
          <w:iCs/>
          <w:sz w:val="28"/>
          <w:szCs w:val="28"/>
        </w:rPr>
        <w:t>Fla. Inst. for Neurological Rehab., Inc. v. Marshall</w:t>
      </w:r>
      <w:r w:rsidR="00643D79" w:rsidRPr="00643D79">
        <w:rPr>
          <w:sz w:val="28"/>
          <w:szCs w:val="28"/>
        </w:rPr>
        <w:t xml:space="preserve">, 943 So. 2d 976 (Fla. 2d DCA 2006); </w:t>
      </w:r>
      <w:r w:rsidR="00643D79" w:rsidRPr="00643D79">
        <w:rPr>
          <w:i/>
          <w:iCs/>
          <w:sz w:val="28"/>
          <w:szCs w:val="28"/>
        </w:rPr>
        <w:t>Damico v. Lundberg</w:t>
      </w:r>
      <w:r w:rsidR="00643D79" w:rsidRPr="00643D79">
        <w:rPr>
          <w:sz w:val="28"/>
          <w:szCs w:val="28"/>
        </w:rPr>
        <w:t>, 379 So. 2d 964 (Fla. 2d DCA 1979)</w:t>
      </w:r>
      <w:r w:rsidR="00643D79">
        <w:rPr>
          <w:sz w:val="28"/>
          <w:szCs w:val="28"/>
        </w:rPr>
        <w:t>.</w:t>
      </w:r>
    </w:p>
    <w:p w:rsidR="00643D79" w:rsidRPr="00643D79" w:rsidRDefault="00643D79" w:rsidP="000809C5">
      <w:pPr>
        <w:spacing w:line="480" w:lineRule="auto"/>
        <w:jc w:val="both"/>
        <w:rPr>
          <w:sz w:val="28"/>
          <w:szCs w:val="28"/>
        </w:rPr>
      </w:pPr>
      <w:r>
        <w:rPr>
          <w:sz w:val="28"/>
          <w:szCs w:val="28"/>
        </w:rPr>
        <w:tab/>
        <w:t>When considering that no note was attached to the initial complaint which would evidence an “endorsement” in blank prior to the inception of the action</w:t>
      </w:r>
      <w:r w:rsidR="00B648BF">
        <w:rPr>
          <w:sz w:val="28"/>
          <w:szCs w:val="28"/>
        </w:rPr>
        <w:t xml:space="preserve"> [R. 1]</w:t>
      </w:r>
      <w:r>
        <w:rPr>
          <w:sz w:val="28"/>
          <w:szCs w:val="28"/>
        </w:rPr>
        <w:t xml:space="preserve">, along with RCS’s testimony that it had no idea when the endorsed was effectuated </w:t>
      </w:r>
      <w:r w:rsidR="000A4CFE">
        <w:rPr>
          <w:sz w:val="28"/>
          <w:szCs w:val="28"/>
        </w:rPr>
        <w:t xml:space="preserve">[T. </w:t>
      </w:r>
      <w:r w:rsidR="00BC0372">
        <w:rPr>
          <w:sz w:val="28"/>
          <w:szCs w:val="28"/>
        </w:rPr>
        <w:t>140]</w:t>
      </w:r>
      <w:r>
        <w:rPr>
          <w:sz w:val="28"/>
          <w:szCs w:val="28"/>
        </w:rPr>
        <w:t>, it is reasonably probable that the assignment could have proven that delivery of the note and mortgage did not occur until after commencement of the action.  As this was a central issue tried before the court below, it was not a harmless error to refuse to admit the relevant assignment.</w:t>
      </w:r>
    </w:p>
    <w:p w:rsidR="002104E6" w:rsidRDefault="002104E6" w:rsidP="00CF792E">
      <w:pPr>
        <w:pStyle w:val="ListParagraph"/>
        <w:numPr>
          <w:ilvl w:val="0"/>
          <w:numId w:val="1"/>
        </w:numPr>
        <w:spacing w:line="240" w:lineRule="auto"/>
        <w:jc w:val="both"/>
        <w:rPr>
          <w:rFonts w:ascii="Times New Roman Bold" w:hAnsi="Times New Roman Bold"/>
          <w:b/>
          <w:caps/>
          <w:sz w:val="28"/>
          <w:szCs w:val="28"/>
        </w:rPr>
      </w:pPr>
      <w:r w:rsidRPr="00B909A8">
        <w:rPr>
          <w:rFonts w:ascii="Times New Roman Bold" w:hAnsi="Times New Roman Bold"/>
          <w:b/>
          <w:caps/>
          <w:sz w:val="28"/>
          <w:szCs w:val="28"/>
        </w:rPr>
        <w:t>The trial court committed reversal error</w:t>
      </w:r>
      <w:r w:rsidR="00CF792E">
        <w:rPr>
          <w:rFonts w:ascii="Times New Roman Bold" w:hAnsi="Times New Roman Bold"/>
          <w:b/>
          <w:caps/>
          <w:sz w:val="28"/>
          <w:szCs w:val="28"/>
        </w:rPr>
        <w:t xml:space="preserve"> when it overruled Homeowners’</w:t>
      </w:r>
      <w:r w:rsidRPr="00B909A8">
        <w:rPr>
          <w:rFonts w:ascii="Times New Roman Bold" w:hAnsi="Times New Roman Bold"/>
          <w:b/>
          <w:caps/>
          <w:sz w:val="28"/>
          <w:szCs w:val="28"/>
        </w:rPr>
        <w:t xml:space="preserve"> objection</w:t>
      </w:r>
      <w:r w:rsidR="00B909A8" w:rsidRPr="00B909A8">
        <w:rPr>
          <w:rFonts w:ascii="Times New Roman Bold" w:hAnsi="Times New Roman Bold"/>
          <w:b/>
          <w:caps/>
          <w:sz w:val="28"/>
          <w:szCs w:val="28"/>
        </w:rPr>
        <w:t xml:space="preserve"> to the AHMSI witness’s testimony regarding possession of the note</w:t>
      </w:r>
    </w:p>
    <w:p w:rsidR="00CF792E" w:rsidRDefault="00CF792E" w:rsidP="00CF792E">
      <w:pPr>
        <w:pStyle w:val="ListParagraph"/>
        <w:spacing w:line="240" w:lineRule="auto"/>
        <w:ind w:left="1080"/>
        <w:jc w:val="both"/>
        <w:rPr>
          <w:rFonts w:ascii="Times New Roman Bold" w:hAnsi="Times New Roman Bold"/>
          <w:b/>
          <w:caps/>
          <w:sz w:val="28"/>
          <w:szCs w:val="28"/>
        </w:rPr>
      </w:pPr>
    </w:p>
    <w:p w:rsidR="00B909A8" w:rsidRPr="00CF792E" w:rsidRDefault="00B909A8" w:rsidP="00B909A8">
      <w:pPr>
        <w:spacing w:line="480" w:lineRule="auto"/>
        <w:jc w:val="both"/>
        <w:rPr>
          <w:sz w:val="28"/>
          <w:szCs w:val="28"/>
        </w:rPr>
      </w:pPr>
      <w:r>
        <w:rPr>
          <w:rFonts w:ascii="Times New Roman Bold" w:hAnsi="Times New Roman Bold"/>
          <w:b/>
          <w:sz w:val="28"/>
          <w:szCs w:val="28"/>
        </w:rPr>
        <w:tab/>
      </w:r>
      <w:r w:rsidR="00CF792E">
        <w:rPr>
          <w:sz w:val="28"/>
          <w:szCs w:val="28"/>
        </w:rPr>
        <w:t>The only piece of evidence offered by RCS to prove its standing at the inception of the action was the AHMSI witness’s testimony that AHMSI possessed the promissory note</w:t>
      </w:r>
      <w:r w:rsidR="00674931">
        <w:rPr>
          <w:sz w:val="28"/>
          <w:szCs w:val="28"/>
        </w:rPr>
        <w:t xml:space="preserve"> that contained a blank endorsement</w:t>
      </w:r>
      <w:r w:rsidR="00CF792E">
        <w:rPr>
          <w:sz w:val="28"/>
          <w:szCs w:val="28"/>
        </w:rPr>
        <w:t xml:space="preserve"> in July</w:t>
      </w:r>
      <w:r w:rsidR="00674931">
        <w:rPr>
          <w:sz w:val="28"/>
          <w:szCs w:val="28"/>
        </w:rPr>
        <w:t>,</w:t>
      </w:r>
      <w:r w:rsidR="00CF792E">
        <w:rPr>
          <w:sz w:val="28"/>
          <w:szCs w:val="28"/>
        </w:rPr>
        <w:t xml:space="preserve"> 2008 </w:t>
      </w:r>
      <w:r w:rsidR="00BC0372">
        <w:rPr>
          <w:sz w:val="28"/>
          <w:szCs w:val="28"/>
        </w:rPr>
        <w:t>[T. 34-35]</w:t>
      </w:r>
      <w:r w:rsidR="00CF792E">
        <w:rPr>
          <w:sz w:val="28"/>
          <w:szCs w:val="28"/>
        </w:rPr>
        <w:t xml:space="preserve">.  However, this testimony was based on the witness’s “business records” and not her personal knowledge.  </w:t>
      </w:r>
      <w:r w:rsidR="00BC0372">
        <w:rPr>
          <w:sz w:val="28"/>
          <w:szCs w:val="28"/>
        </w:rPr>
        <w:t>[T. 34]</w:t>
      </w:r>
      <w:r w:rsidR="00674931">
        <w:rPr>
          <w:sz w:val="28"/>
          <w:szCs w:val="28"/>
        </w:rPr>
        <w:t xml:space="preserve">.  </w:t>
      </w:r>
      <w:r w:rsidR="00BC0372">
        <w:rPr>
          <w:sz w:val="28"/>
          <w:szCs w:val="28"/>
        </w:rPr>
        <w:t>B</w:t>
      </w:r>
      <w:r w:rsidR="00674931">
        <w:rPr>
          <w:sz w:val="28"/>
          <w:szCs w:val="28"/>
        </w:rPr>
        <w:t xml:space="preserve">ecause these “records” were not introduced into </w:t>
      </w:r>
      <w:r w:rsidR="00674931">
        <w:rPr>
          <w:sz w:val="28"/>
          <w:szCs w:val="28"/>
        </w:rPr>
        <w:lastRenderedPageBreak/>
        <w:t xml:space="preserve">evidence prior to the witness’s testimony, the witness’s testimony was unauthenticated and inadmissible hearsay.  </w:t>
      </w:r>
      <w:r w:rsidR="00CF792E">
        <w:rPr>
          <w:sz w:val="28"/>
          <w:szCs w:val="28"/>
        </w:rPr>
        <w:t xml:space="preserve"> </w:t>
      </w:r>
      <w:r w:rsidR="00674931">
        <w:rPr>
          <w:sz w:val="28"/>
          <w:szCs w:val="28"/>
        </w:rPr>
        <w:t xml:space="preserve">Therefore, the trial court committed reversal error when it overruled Homeowners’ objection to the AHMSI witness’s testimony. </w:t>
      </w:r>
    </w:p>
    <w:p w:rsidR="00CF792E" w:rsidRDefault="00B909A8" w:rsidP="00674931">
      <w:pPr>
        <w:pStyle w:val="ListParagraph"/>
        <w:numPr>
          <w:ilvl w:val="0"/>
          <w:numId w:val="9"/>
        </w:numPr>
        <w:spacing w:line="240" w:lineRule="auto"/>
        <w:jc w:val="both"/>
        <w:rPr>
          <w:b/>
          <w:sz w:val="28"/>
          <w:szCs w:val="28"/>
        </w:rPr>
      </w:pPr>
      <w:r>
        <w:rPr>
          <w:b/>
          <w:sz w:val="28"/>
          <w:szCs w:val="28"/>
        </w:rPr>
        <w:t xml:space="preserve">The witness </w:t>
      </w:r>
      <w:r w:rsidR="00674931">
        <w:rPr>
          <w:b/>
          <w:sz w:val="28"/>
          <w:szCs w:val="28"/>
        </w:rPr>
        <w:t>admitted she had no personal knowledge</w:t>
      </w:r>
      <w:r>
        <w:rPr>
          <w:b/>
          <w:sz w:val="28"/>
          <w:szCs w:val="28"/>
        </w:rPr>
        <w:t xml:space="preserve"> that AHMSI had possession of the note prior to the inception of the lawsuit</w:t>
      </w:r>
    </w:p>
    <w:p w:rsidR="00674931" w:rsidRDefault="00674931" w:rsidP="00674931">
      <w:pPr>
        <w:pStyle w:val="ListParagraph"/>
        <w:spacing w:line="240" w:lineRule="auto"/>
        <w:ind w:left="1440"/>
        <w:jc w:val="both"/>
        <w:rPr>
          <w:b/>
          <w:sz w:val="28"/>
          <w:szCs w:val="28"/>
        </w:rPr>
      </w:pPr>
    </w:p>
    <w:p w:rsidR="00674931" w:rsidRDefault="00674931" w:rsidP="00674931">
      <w:pPr>
        <w:spacing w:line="480" w:lineRule="auto"/>
        <w:jc w:val="both"/>
        <w:rPr>
          <w:sz w:val="28"/>
          <w:szCs w:val="28"/>
        </w:rPr>
      </w:pPr>
      <w:r>
        <w:rPr>
          <w:sz w:val="28"/>
          <w:szCs w:val="28"/>
        </w:rPr>
        <w:tab/>
        <w:t>The AHMSI witness’s testimony clearly established that she had absolutely no personal knowledge regarding whether AHMSI had possession of the note in July 2008.  In fact, RCS’s counsel specifically asked “</w:t>
      </w:r>
      <w:r w:rsidRPr="00674931">
        <w:rPr>
          <w:b/>
          <w:sz w:val="28"/>
          <w:szCs w:val="28"/>
        </w:rPr>
        <w:t xml:space="preserve">[C]an you look at your records </w:t>
      </w:r>
      <w:r>
        <w:rPr>
          <w:sz w:val="28"/>
          <w:szCs w:val="28"/>
        </w:rPr>
        <w:t xml:space="preserve">and tell me if that is an accurate photocopy of the promissory note that AHMSI had in its possession in July of 2008.”  </w:t>
      </w:r>
      <w:r w:rsidR="00BC0372">
        <w:rPr>
          <w:sz w:val="28"/>
          <w:szCs w:val="28"/>
        </w:rPr>
        <w:t>[T. 34]</w:t>
      </w:r>
      <w:r>
        <w:rPr>
          <w:sz w:val="28"/>
          <w:szCs w:val="28"/>
        </w:rPr>
        <w:t xml:space="preserve">.  (Bold emphasis </w:t>
      </w:r>
      <w:r w:rsidR="000C1B0E">
        <w:rPr>
          <w:sz w:val="28"/>
          <w:szCs w:val="28"/>
        </w:rPr>
        <w:t>added).  The witness represented to the court that her testimony was based off of her “</w:t>
      </w:r>
      <w:r w:rsidR="000C1B0E" w:rsidRPr="000C1B0E">
        <w:rPr>
          <w:b/>
          <w:sz w:val="28"/>
          <w:szCs w:val="28"/>
        </w:rPr>
        <w:t>business records</w:t>
      </w:r>
      <w:r w:rsidR="000C1B0E">
        <w:rPr>
          <w:sz w:val="28"/>
          <w:szCs w:val="28"/>
        </w:rPr>
        <w:t xml:space="preserve"> that [she] pulled in order to prepare for…the trial today.”  </w:t>
      </w:r>
      <w:r w:rsidR="00B648BF">
        <w:rPr>
          <w:sz w:val="28"/>
          <w:szCs w:val="28"/>
        </w:rPr>
        <w:t xml:space="preserve">[T. </w:t>
      </w:r>
      <w:r w:rsidR="00BC0372">
        <w:rPr>
          <w:sz w:val="28"/>
          <w:szCs w:val="28"/>
        </w:rPr>
        <w:t>34]</w:t>
      </w:r>
      <w:r w:rsidR="000C1B0E">
        <w:rPr>
          <w:sz w:val="28"/>
          <w:szCs w:val="28"/>
        </w:rPr>
        <w:t>.  (Bold emphasis added).</w:t>
      </w:r>
    </w:p>
    <w:p w:rsidR="000C1B0E" w:rsidRPr="00674931" w:rsidRDefault="000C1B0E" w:rsidP="00674931">
      <w:pPr>
        <w:spacing w:line="480" w:lineRule="auto"/>
        <w:jc w:val="both"/>
        <w:rPr>
          <w:sz w:val="28"/>
          <w:szCs w:val="28"/>
        </w:rPr>
      </w:pPr>
      <w:r>
        <w:rPr>
          <w:sz w:val="28"/>
          <w:szCs w:val="28"/>
        </w:rPr>
        <w:tab/>
        <w:t xml:space="preserve">It is fundamental that “a witness </w:t>
      </w:r>
      <w:r w:rsidRPr="000C1B0E">
        <w:rPr>
          <w:sz w:val="28"/>
          <w:szCs w:val="28"/>
        </w:rPr>
        <w:t>may not testify to a matter unless evidence is introduced which is sufficient to support a finding that the witness has personal knowledge of the matter</w:t>
      </w:r>
      <w:r>
        <w:rPr>
          <w:sz w:val="28"/>
          <w:szCs w:val="28"/>
        </w:rPr>
        <w:t xml:space="preserve">.”  Fla. Stat. §90.604.  Because the AHMSI witness’s testimony was based upon </w:t>
      </w:r>
      <w:r w:rsidR="00BC0372">
        <w:rPr>
          <w:sz w:val="28"/>
          <w:szCs w:val="28"/>
        </w:rPr>
        <w:t>her review of “business records</w:t>
      </w:r>
      <w:r>
        <w:rPr>
          <w:sz w:val="28"/>
          <w:szCs w:val="28"/>
        </w:rPr>
        <w:t>,</w:t>
      </w:r>
      <w:r w:rsidR="00BC0372">
        <w:rPr>
          <w:sz w:val="28"/>
          <w:szCs w:val="28"/>
        </w:rPr>
        <w:t>”</w:t>
      </w:r>
      <w:r>
        <w:rPr>
          <w:sz w:val="28"/>
          <w:szCs w:val="28"/>
        </w:rPr>
        <w:t xml:space="preserve"> a classic hearsay exception, it was not based upon personal knowledge.</w:t>
      </w:r>
    </w:p>
    <w:p w:rsidR="000C1B0E" w:rsidRDefault="00CF792E" w:rsidP="000C1B0E">
      <w:pPr>
        <w:pStyle w:val="ListParagraph"/>
        <w:numPr>
          <w:ilvl w:val="0"/>
          <w:numId w:val="9"/>
        </w:numPr>
        <w:spacing w:line="240" w:lineRule="auto"/>
        <w:jc w:val="both"/>
        <w:rPr>
          <w:b/>
          <w:sz w:val="28"/>
          <w:szCs w:val="28"/>
        </w:rPr>
      </w:pPr>
      <w:r>
        <w:rPr>
          <w:b/>
          <w:sz w:val="28"/>
          <w:szCs w:val="28"/>
        </w:rPr>
        <w:t xml:space="preserve">Because the witness’s “business records” were not introduced into evidence, the records were inadmissible and unauthenticated hearsay statements </w:t>
      </w:r>
      <w:r w:rsidR="00B909A8">
        <w:rPr>
          <w:b/>
          <w:sz w:val="28"/>
          <w:szCs w:val="28"/>
        </w:rPr>
        <w:t xml:space="preserve"> </w:t>
      </w:r>
    </w:p>
    <w:p w:rsidR="00655DDA" w:rsidRPr="00B648BF" w:rsidRDefault="00655DDA" w:rsidP="00655DDA">
      <w:pPr>
        <w:pStyle w:val="ListParagraph"/>
        <w:spacing w:line="240" w:lineRule="auto"/>
        <w:ind w:left="1440"/>
        <w:jc w:val="both"/>
        <w:rPr>
          <w:b/>
          <w:sz w:val="28"/>
          <w:szCs w:val="28"/>
        </w:rPr>
      </w:pPr>
    </w:p>
    <w:p w:rsidR="000C1B0E" w:rsidRDefault="000C1B0E" w:rsidP="000C1B0E">
      <w:pPr>
        <w:spacing w:line="480" w:lineRule="auto"/>
        <w:jc w:val="both"/>
        <w:rPr>
          <w:sz w:val="28"/>
          <w:szCs w:val="28"/>
        </w:rPr>
      </w:pPr>
      <w:r>
        <w:rPr>
          <w:sz w:val="28"/>
          <w:szCs w:val="28"/>
        </w:rPr>
        <w:tab/>
      </w:r>
      <w:r w:rsidR="00BC0372">
        <w:rPr>
          <w:sz w:val="28"/>
          <w:szCs w:val="28"/>
        </w:rPr>
        <w:t>Since</w:t>
      </w:r>
      <w:r>
        <w:rPr>
          <w:sz w:val="28"/>
          <w:szCs w:val="28"/>
        </w:rPr>
        <w:t xml:space="preserve"> the witness’s testimony was not based upon her personal knowledge, the testimony could on</w:t>
      </w:r>
      <w:r w:rsidR="00BC0372">
        <w:rPr>
          <w:sz w:val="28"/>
          <w:szCs w:val="28"/>
        </w:rPr>
        <w:t xml:space="preserve">ly have been admissible under an enumerated </w:t>
      </w:r>
      <w:r>
        <w:rPr>
          <w:sz w:val="28"/>
          <w:szCs w:val="28"/>
        </w:rPr>
        <w:t xml:space="preserve">“hearsay” exception.  </w:t>
      </w:r>
      <w:r w:rsidR="009460E6">
        <w:rPr>
          <w:sz w:val="28"/>
          <w:szCs w:val="28"/>
        </w:rPr>
        <w:t xml:space="preserve">It appears, based upon the references to “records” and “business records” by both RCS’s counsel and the AHMSI witness, that the testimony was meant to come under the hearsay exception for such records, Fla. Stat. §90.803(6).  However, testimony describing the contents of a business record is inadmissible unless the record has previously been introduced under the business records exception rule.  </w:t>
      </w:r>
      <w:r w:rsidR="009460E6">
        <w:rPr>
          <w:i/>
          <w:sz w:val="28"/>
          <w:szCs w:val="28"/>
        </w:rPr>
        <w:t>See</w:t>
      </w:r>
      <w:r w:rsidR="009460E6">
        <w:rPr>
          <w:sz w:val="28"/>
          <w:szCs w:val="28"/>
        </w:rPr>
        <w:t xml:space="preserve"> </w:t>
      </w:r>
      <w:r w:rsidR="009460E6">
        <w:rPr>
          <w:i/>
          <w:sz w:val="28"/>
          <w:szCs w:val="28"/>
        </w:rPr>
        <w:t>Richardson v. State</w:t>
      </w:r>
      <w:r w:rsidR="009460E6">
        <w:rPr>
          <w:sz w:val="28"/>
          <w:szCs w:val="28"/>
        </w:rPr>
        <w:t xml:space="preserve">, 875 So. 2d 673, 677 (Fla. 1st DCA 2004) (holding that testimony by an employee, who did not have personal knowledge of the facts recorded, concerning the contents of a business record which had not been entered into evidence was hearsay); </w:t>
      </w:r>
      <w:r w:rsidR="009460E6" w:rsidRPr="009460E6">
        <w:rPr>
          <w:i/>
          <w:sz w:val="28"/>
          <w:szCs w:val="28"/>
        </w:rPr>
        <w:t>Bolin v. State</w:t>
      </w:r>
      <w:r w:rsidR="009460E6">
        <w:rPr>
          <w:sz w:val="28"/>
          <w:szCs w:val="28"/>
        </w:rPr>
        <w:t xml:space="preserve">, 736 So. 2d 1160, 1167 (Fla. 1999) (providing that “Oral testimony concerning business records is not admissible under [section 90.803(6)]”); </w:t>
      </w:r>
      <w:r w:rsidR="009460E6" w:rsidRPr="009460E6">
        <w:rPr>
          <w:i/>
          <w:sz w:val="28"/>
          <w:szCs w:val="28"/>
        </w:rPr>
        <w:t>Cullimore v. Barnett Bank of Jacksonville</w:t>
      </w:r>
      <w:r w:rsidR="009460E6">
        <w:rPr>
          <w:sz w:val="28"/>
          <w:szCs w:val="28"/>
        </w:rPr>
        <w:t>, 386 So. 2d 894, 895 (Fla. 1st DCA 1980) (holding that oral testimony concerning the contents of business records is not admissible unless the record has first been admitted).</w:t>
      </w:r>
    </w:p>
    <w:p w:rsidR="00BC0372" w:rsidRDefault="00BC0372" w:rsidP="000C1B0E">
      <w:pPr>
        <w:spacing w:line="480" w:lineRule="auto"/>
        <w:jc w:val="both"/>
        <w:rPr>
          <w:sz w:val="28"/>
          <w:szCs w:val="28"/>
        </w:rPr>
      </w:pPr>
      <w:r>
        <w:rPr>
          <w:sz w:val="28"/>
          <w:szCs w:val="28"/>
        </w:rPr>
        <w:tab/>
      </w:r>
      <w:r w:rsidR="002509DA">
        <w:rPr>
          <w:sz w:val="28"/>
          <w:szCs w:val="28"/>
        </w:rPr>
        <w:t xml:space="preserve">This is because while under the business record exception a record, report, data, or other data compilation is admissible, the exception “does not authorize hearsay testimony concerning the contents of business records which have not been admitted into evidence.”  </w:t>
      </w:r>
      <w:r w:rsidR="002509DA" w:rsidRPr="002509DA">
        <w:rPr>
          <w:i/>
          <w:sz w:val="28"/>
          <w:szCs w:val="28"/>
        </w:rPr>
        <w:t>Thompson v. State</w:t>
      </w:r>
      <w:r w:rsidR="002509DA">
        <w:rPr>
          <w:sz w:val="28"/>
          <w:szCs w:val="28"/>
        </w:rPr>
        <w:t xml:space="preserve">, 705 So. 2d 1046, 1048 (Fla. 4th DCA </w:t>
      </w:r>
      <w:r w:rsidR="002509DA">
        <w:rPr>
          <w:sz w:val="28"/>
          <w:szCs w:val="28"/>
        </w:rPr>
        <w:lastRenderedPageBreak/>
        <w:t xml:space="preserve">1998).  By allowing the AHMSI witness to testify that her records revealed AHMSI was in possession of the original note endorsed in blank as of July, 2008, the trial court permitted the witness to give secretive testimony that was no longer subject to the test of its credibility by cross-examination.  Put another way, the witness’s testimony could never have been impeached by the record itself </w:t>
      </w:r>
      <w:r w:rsidR="002509DA" w:rsidRPr="002509DA">
        <w:rPr>
          <w:b/>
          <w:sz w:val="28"/>
          <w:szCs w:val="28"/>
        </w:rPr>
        <w:t xml:space="preserve">because the record was not </w:t>
      </w:r>
      <w:r w:rsidR="002509DA">
        <w:rPr>
          <w:b/>
          <w:sz w:val="28"/>
          <w:szCs w:val="28"/>
        </w:rPr>
        <w:t>introduced</w:t>
      </w:r>
      <w:r w:rsidR="002509DA">
        <w:rPr>
          <w:sz w:val="28"/>
          <w:szCs w:val="28"/>
        </w:rPr>
        <w:t>.</w:t>
      </w:r>
    </w:p>
    <w:p w:rsidR="009460E6" w:rsidRPr="009460E6" w:rsidRDefault="009460E6" w:rsidP="000C1B0E">
      <w:pPr>
        <w:spacing w:line="480" w:lineRule="auto"/>
        <w:jc w:val="both"/>
        <w:rPr>
          <w:sz w:val="28"/>
          <w:szCs w:val="28"/>
        </w:rPr>
      </w:pPr>
      <w:r>
        <w:rPr>
          <w:sz w:val="28"/>
          <w:szCs w:val="28"/>
        </w:rPr>
        <w:tab/>
        <w:t xml:space="preserve">Therefore, the AHMSI witness’s testimony that AHMSI possessed the original promissory note, endorsed in blank, in July, 2008 </w:t>
      </w:r>
      <w:r w:rsidR="0029400B">
        <w:rPr>
          <w:sz w:val="28"/>
          <w:szCs w:val="28"/>
        </w:rPr>
        <w:t>was inadmissible.</w:t>
      </w:r>
    </w:p>
    <w:p w:rsidR="0029400B" w:rsidRDefault="00B909A8" w:rsidP="0029400B">
      <w:pPr>
        <w:pStyle w:val="ListParagraph"/>
        <w:numPr>
          <w:ilvl w:val="0"/>
          <w:numId w:val="9"/>
        </w:numPr>
        <w:spacing w:line="240" w:lineRule="auto"/>
        <w:jc w:val="both"/>
        <w:rPr>
          <w:b/>
          <w:sz w:val="28"/>
          <w:szCs w:val="28"/>
        </w:rPr>
      </w:pPr>
      <w:r>
        <w:rPr>
          <w:b/>
          <w:sz w:val="28"/>
          <w:szCs w:val="28"/>
        </w:rPr>
        <w:t xml:space="preserve">Permitting the testimony was not a harmless error because </w:t>
      </w:r>
      <w:r w:rsidR="0029400B">
        <w:rPr>
          <w:b/>
          <w:sz w:val="28"/>
          <w:szCs w:val="28"/>
        </w:rPr>
        <w:t xml:space="preserve">RCS was required to prove under </w:t>
      </w:r>
      <w:r w:rsidR="0029400B" w:rsidRPr="0029400B">
        <w:rPr>
          <w:b/>
          <w:i/>
          <w:sz w:val="28"/>
          <w:szCs w:val="28"/>
        </w:rPr>
        <w:t>Feltus</w:t>
      </w:r>
      <w:r w:rsidR="0029400B">
        <w:rPr>
          <w:b/>
          <w:sz w:val="28"/>
          <w:szCs w:val="28"/>
        </w:rPr>
        <w:t xml:space="preserve"> that the blank endorsement was effectuated prior to the lawsuit being filed</w:t>
      </w:r>
    </w:p>
    <w:p w:rsidR="0029400B" w:rsidRDefault="0029400B" w:rsidP="0029400B">
      <w:pPr>
        <w:pStyle w:val="ListParagraph"/>
        <w:spacing w:line="240" w:lineRule="auto"/>
        <w:ind w:left="1440"/>
        <w:jc w:val="both"/>
        <w:rPr>
          <w:b/>
          <w:sz w:val="28"/>
          <w:szCs w:val="28"/>
        </w:rPr>
      </w:pPr>
    </w:p>
    <w:p w:rsidR="0029400B" w:rsidRDefault="0029400B" w:rsidP="0029400B">
      <w:pPr>
        <w:spacing w:line="480" w:lineRule="auto"/>
        <w:jc w:val="both"/>
        <w:rPr>
          <w:sz w:val="28"/>
          <w:szCs w:val="28"/>
        </w:rPr>
      </w:pPr>
      <w:r>
        <w:rPr>
          <w:sz w:val="28"/>
          <w:szCs w:val="28"/>
        </w:rPr>
        <w:tab/>
        <w:t>The trial court’s denial of Homeowners’ objection to the AHMSI witness testimony cannot be construed as a “harmless error” because RCS was required to prove that the endorsement was effectuated prior to the commencement of the action.</w:t>
      </w:r>
    </w:p>
    <w:p w:rsidR="003B5CCD" w:rsidRDefault="0029400B" w:rsidP="0029400B">
      <w:pPr>
        <w:spacing w:line="480" w:lineRule="auto"/>
        <w:jc w:val="both"/>
        <w:rPr>
          <w:sz w:val="28"/>
          <w:szCs w:val="28"/>
        </w:rPr>
      </w:pPr>
      <w:r>
        <w:rPr>
          <w:sz w:val="28"/>
          <w:szCs w:val="28"/>
        </w:rPr>
        <w:tab/>
        <w:t xml:space="preserve">In </w:t>
      </w:r>
      <w:r w:rsidRPr="0029400B">
        <w:rPr>
          <w:i/>
          <w:sz w:val="28"/>
          <w:szCs w:val="28"/>
        </w:rPr>
        <w:t>Feltus v. U.S. Bank National Association</w:t>
      </w:r>
      <w:r>
        <w:rPr>
          <w:sz w:val="28"/>
          <w:szCs w:val="28"/>
        </w:rPr>
        <w:t xml:space="preserve">, 80 So. 3d 375 (Fla. 2d DCA 2012), U.S. Bank initiated a foreclosure action but attached to its initial, unverified complaint a copy of a promissory note payable to another entity and which contained no endorsements.  </w:t>
      </w:r>
      <w:r w:rsidRPr="0029400B">
        <w:rPr>
          <w:i/>
          <w:sz w:val="28"/>
          <w:szCs w:val="28"/>
        </w:rPr>
        <w:t>Id.</w:t>
      </w:r>
      <w:r>
        <w:rPr>
          <w:sz w:val="28"/>
          <w:szCs w:val="28"/>
        </w:rPr>
        <w:t xml:space="preserve">  Later, U.S. Bank filed what it claimed was the original promissory note which contained two endorsements, the second of which was “endorsed in blank.”  </w:t>
      </w:r>
      <w:r w:rsidRPr="0029400B">
        <w:rPr>
          <w:i/>
          <w:sz w:val="28"/>
          <w:szCs w:val="28"/>
        </w:rPr>
        <w:t>Id.</w:t>
      </w:r>
      <w:r>
        <w:rPr>
          <w:sz w:val="28"/>
          <w:szCs w:val="28"/>
        </w:rPr>
        <w:t xml:space="preserve"> at 376.  </w:t>
      </w:r>
      <w:r w:rsidR="003B5CCD">
        <w:rPr>
          <w:sz w:val="28"/>
          <w:szCs w:val="28"/>
        </w:rPr>
        <w:t xml:space="preserve">The trial court granted summary judgment in </w:t>
      </w:r>
      <w:r w:rsidR="003B5CCD">
        <w:rPr>
          <w:sz w:val="28"/>
          <w:szCs w:val="28"/>
        </w:rPr>
        <w:lastRenderedPageBreak/>
        <w:t>favor of U.S. Bank, but this Court reversed “</w:t>
      </w:r>
      <w:r w:rsidR="003B5CCD" w:rsidRPr="003B5CCD">
        <w:rPr>
          <w:sz w:val="28"/>
          <w:szCs w:val="28"/>
        </w:rPr>
        <w:t>because the documents before it did not establish conclusively that there was no genuine issue of material fact and that U.S. Bank w</w:t>
      </w:r>
      <w:r w:rsidR="003B5CCD">
        <w:rPr>
          <w:sz w:val="28"/>
          <w:szCs w:val="28"/>
        </w:rPr>
        <w:t>as entitled to foreclose Feltus’</w:t>
      </w:r>
      <w:r w:rsidR="003B5CCD" w:rsidRPr="003B5CCD">
        <w:rPr>
          <w:sz w:val="28"/>
          <w:szCs w:val="28"/>
        </w:rPr>
        <w:t>s mortgage as a matter of law.</w:t>
      </w:r>
      <w:r w:rsidR="003B5CCD">
        <w:rPr>
          <w:sz w:val="28"/>
          <w:szCs w:val="28"/>
        </w:rPr>
        <w:t xml:space="preserve">”  </w:t>
      </w:r>
      <w:r w:rsidR="003B5CCD" w:rsidRPr="003B5CCD">
        <w:rPr>
          <w:i/>
          <w:sz w:val="28"/>
          <w:szCs w:val="28"/>
        </w:rPr>
        <w:t>Id.</w:t>
      </w:r>
      <w:r w:rsidR="003B5CCD">
        <w:rPr>
          <w:sz w:val="28"/>
          <w:szCs w:val="28"/>
        </w:rPr>
        <w:t xml:space="preserve"> at 377. </w:t>
      </w:r>
    </w:p>
    <w:p w:rsidR="003B5CCD" w:rsidRDefault="003B5CCD" w:rsidP="0029400B">
      <w:pPr>
        <w:spacing w:line="480" w:lineRule="auto"/>
        <w:jc w:val="both"/>
        <w:rPr>
          <w:sz w:val="28"/>
          <w:szCs w:val="28"/>
        </w:rPr>
      </w:pPr>
      <w:r>
        <w:rPr>
          <w:sz w:val="28"/>
          <w:szCs w:val="28"/>
        </w:rPr>
        <w:tab/>
      </w:r>
      <w:r w:rsidR="0029400B">
        <w:rPr>
          <w:sz w:val="28"/>
          <w:szCs w:val="28"/>
        </w:rPr>
        <w:t xml:space="preserve">In a very important footnote to its decision, this Court </w:t>
      </w:r>
      <w:r>
        <w:rPr>
          <w:sz w:val="28"/>
          <w:szCs w:val="28"/>
        </w:rPr>
        <w:t xml:space="preserve">explained that U.S. Bank “would have needed to prove the endorsement in blank was effectuated before the lawsuit was filed.”  </w:t>
      </w:r>
      <w:r w:rsidRPr="003B5CCD">
        <w:rPr>
          <w:i/>
          <w:sz w:val="28"/>
          <w:szCs w:val="28"/>
        </w:rPr>
        <w:t>Id.</w:t>
      </w:r>
      <w:r>
        <w:rPr>
          <w:sz w:val="28"/>
          <w:szCs w:val="28"/>
        </w:rPr>
        <w:t xml:space="preserve"> at n. 2.  This footnote becomes instructive here because the initial, unverified complaint filed by AHMSI was even more lacking that the complaint in </w:t>
      </w:r>
      <w:r w:rsidRPr="003B5CCD">
        <w:rPr>
          <w:i/>
          <w:sz w:val="28"/>
          <w:szCs w:val="28"/>
        </w:rPr>
        <w:t>Feltus</w:t>
      </w:r>
      <w:r>
        <w:rPr>
          <w:sz w:val="28"/>
          <w:szCs w:val="28"/>
        </w:rPr>
        <w:t xml:space="preserve"> </w:t>
      </w:r>
      <w:r w:rsidR="00AD089F">
        <w:rPr>
          <w:b/>
          <w:sz w:val="28"/>
          <w:szCs w:val="28"/>
        </w:rPr>
        <w:t>as</w:t>
      </w:r>
      <w:r w:rsidRPr="003B5CCD">
        <w:rPr>
          <w:b/>
          <w:sz w:val="28"/>
          <w:szCs w:val="28"/>
        </w:rPr>
        <w:t xml:space="preserve"> AHMSI’s complaint did not </w:t>
      </w:r>
      <w:r>
        <w:rPr>
          <w:b/>
          <w:sz w:val="28"/>
          <w:szCs w:val="28"/>
        </w:rPr>
        <w:t xml:space="preserve">even </w:t>
      </w:r>
      <w:r w:rsidRPr="003B5CCD">
        <w:rPr>
          <w:b/>
          <w:sz w:val="28"/>
          <w:szCs w:val="28"/>
        </w:rPr>
        <w:t>contain a copy of the note</w:t>
      </w:r>
      <w:r w:rsidRPr="003B5CCD">
        <w:rPr>
          <w:sz w:val="28"/>
          <w:szCs w:val="28"/>
        </w:rPr>
        <w:t>.</w:t>
      </w:r>
      <w:r>
        <w:rPr>
          <w:sz w:val="28"/>
          <w:szCs w:val="28"/>
        </w:rPr>
        <w:t xml:space="preserve"> </w:t>
      </w:r>
      <w:r w:rsidR="003D0D3E">
        <w:rPr>
          <w:sz w:val="28"/>
          <w:szCs w:val="28"/>
        </w:rPr>
        <w:t>[R. 1]</w:t>
      </w:r>
      <w:r>
        <w:rPr>
          <w:sz w:val="28"/>
          <w:szCs w:val="28"/>
        </w:rPr>
        <w:t xml:space="preserve">.  </w:t>
      </w:r>
    </w:p>
    <w:p w:rsidR="0029400B" w:rsidRDefault="003B5CCD" w:rsidP="0029400B">
      <w:pPr>
        <w:spacing w:line="480" w:lineRule="auto"/>
        <w:jc w:val="both"/>
        <w:rPr>
          <w:sz w:val="28"/>
          <w:szCs w:val="28"/>
        </w:rPr>
      </w:pPr>
      <w:r>
        <w:rPr>
          <w:sz w:val="28"/>
          <w:szCs w:val="28"/>
        </w:rPr>
        <w:tab/>
        <w:t>The AHMSI witness’s testimony was therefore necessary to prove that the endorsement in blank was effectuated before the action commenced.  Since RCS’s entire standing argument was based on this one, crucial piece of evidence</w:t>
      </w:r>
      <w:r w:rsidR="003D0D3E">
        <w:rPr>
          <w:sz w:val="28"/>
          <w:szCs w:val="28"/>
        </w:rPr>
        <w:t xml:space="preserve"> (especially in light of its objection to the introduction of the assignment)</w:t>
      </w:r>
      <w:r>
        <w:rPr>
          <w:sz w:val="28"/>
          <w:szCs w:val="28"/>
        </w:rPr>
        <w:t>, it is reasonably probable that Homeowners’ would have obtained a more favorable result without the error.</w:t>
      </w:r>
    </w:p>
    <w:p w:rsidR="003B5CCD" w:rsidRDefault="003B5CCD" w:rsidP="0029400B">
      <w:pPr>
        <w:spacing w:line="480" w:lineRule="auto"/>
        <w:jc w:val="both"/>
        <w:rPr>
          <w:sz w:val="28"/>
          <w:szCs w:val="28"/>
        </w:rPr>
      </w:pPr>
      <w:r>
        <w:rPr>
          <w:sz w:val="28"/>
          <w:szCs w:val="28"/>
        </w:rPr>
        <w:tab/>
        <w:t>Therefore, by overruling Homeowners’ objection to the AHMSI witness’s testimony, the trial court committed reversal error.</w:t>
      </w:r>
    </w:p>
    <w:p w:rsidR="00824BD8" w:rsidRDefault="00824BD8" w:rsidP="004F1693">
      <w:pPr>
        <w:pStyle w:val="ListParagraph"/>
        <w:tabs>
          <w:tab w:val="left" w:pos="720"/>
          <w:tab w:val="left" w:pos="1440"/>
          <w:tab w:val="right" w:leader="dot" w:pos="9360"/>
        </w:tabs>
        <w:spacing w:line="480" w:lineRule="auto"/>
        <w:ind w:left="0"/>
        <w:jc w:val="center"/>
        <w:rPr>
          <w:b/>
          <w:caps/>
          <w:spacing w:val="-10"/>
          <w:sz w:val="28"/>
        </w:rPr>
      </w:pPr>
    </w:p>
    <w:p w:rsidR="00824BD8" w:rsidRDefault="00824BD8" w:rsidP="004F1693">
      <w:pPr>
        <w:pStyle w:val="ListParagraph"/>
        <w:tabs>
          <w:tab w:val="left" w:pos="720"/>
          <w:tab w:val="left" w:pos="1440"/>
          <w:tab w:val="right" w:leader="dot" w:pos="9360"/>
        </w:tabs>
        <w:spacing w:line="480" w:lineRule="auto"/>
        <w:ind w:left="0"/>
        <w:jc w:val="center"/>
        <w:rPr>
          <w:b/>
          <w:caps/>
          <w:spacing w:val="-10"/>
          <w:sz w:val="28"/>
        </w:rPr>
      </w:pPr>
    </w:p>
    <w:p w:rsidR="004F1693" w:rsidRDefault="004F1693" w:rsidP="004F1693">
      <w:pPr>
        <w:pStyle w:val="ListParagraph"/>
        <w:tabs>
          <w:tab w:val="left" w:pos="720"/>
          <w:tab w:val="left" w:pos="1440"/>
          <w:tab w:val="right" w:leader="dot" w:pos="9360"/>
        </w:tabs>
        <w:spacing w:line="480" w:lineRule="auto"/>
        <w:ind w:left="0"/>
        <w:jc w:val="center"/>
        <w:rPr>
          <w:b/>
          <w:caps/>
          <w:spacing w:val="-10"/>
          <w:sz w:val="28"/>
        </w:rPr>
      </w:pPr>
      <w:r>
        <w:rPr>
          <w:b/>
          <w:caps/>
          <w:spacing w:val="-10"/>
          <w:sz w:val="28"/>
        </w:rPr>
        <w:lastRenderedPageBreak/>
        <w:t xml:space="preserve">Conclusion </w:t>
      </w:r>
    </w:p>
    <w:p w:rsidR="004F1693" w:rsidRPr="004F1693" w:rsidRDefault="004F1693" w:rsidP="004F1693">
      <w:pPr>
        <w:tabs>
          <w:tab w:val="left" w:pos="720"/>
          <w:tab w:val="left" w:pos="1440"/>
          <w:tab w:val="right" w:leader="dot" w:pos="9360"/>
        </w:tabs>
        <w:spacing w:line="480" w:lineRule="auto"/>
        <w:jc w:val="both"/>
        <w:rPr>
          <w:spacing w:val="-10"/>
          <w:sz w:val="28"/>
        </w:rPr>
      </w:pPr>
      <w:r>
        <w:rPr>
          <w:b/>
          <w:spacing w:val="-10"/>
          <w:sz w:val="28"/>
        </w:rPr>
        <w:tab/>
      </w:r>
      <w:r w:rsidRPr="003068E4">
        <w:rPr>
          <w:spacing w:val="-10"/>
          <w:sz w:val="28"/>
        </w:rPr>
        <w:t>For the reasons and legal authorities set forth herein</w:t>
      </w:r>
      <w:r>
        <w:rPr>
          <w:spacing w:val="-10"/>
          <w:sz w:val="28"/>
        </w:rPr>
        <w:t>, it is respectfully submitted that this Honorable Court should reverse the final judgment of foreclosure entered in RCS’s favor and enter judgment in Homeowners’ name or, in the alternative, order a new trial on the merits.</w:t>
      </w:r>
    </w:p>
    <w:p w:rsidR="004F1693" w:rsidRDefault="003D0D3E" w:rsidP="004F1693">
      <w:pPr>
        <w:spacing w:line="480" w:lineRule="auto"/>
        <w:jc w:val="both"/>
        <w:rPr>
          <w:sz w:val="28"/>
          <w:szCs w:val="28"/>
        </w:rPr>
      </w:pPr>
      <w:r>
        <w:rPr>
          <w:sz w:val="28"/>
          <w:szCs w:val="28"/>
        </w:rPr>
        <w:tab/>
      </w:r>
      <w:r w:rsidR="004F1693">
        <w:rPr>
          <w:sz w:val="28"/>
          <w:szCs w:val="28"/>
        </w:rPr>
        <w:t>Dated June ___, 2012.</w:t>
      </w:r>
    </w:p>
    <w:p w:rsidR="004F1693" w:rsidRPr="00243B3F" w:rsidRDefault="004F1693" w:rsidP="004F1693">
      <w:pPr>
        <w:spacing w:line="240" w:lineRule="auto"/>
        <w:jc w:val="right"/>
        <w:rPr>
          <w:sz w:val="28"/>
          <w:szCs w:val="28"/>
        </w:rPr>
      </w:pPr>
      <w:r w:rsidRPr="00243B3F">
        <w:rPr>
          <w:sz w:val="28"/>
          <w:szCs w:val="28"/>
        </w:rPr>
        <w:t>Respectfully Submitted,</w:t>
      </w:r>
    </w:p>
    <w:p w:rsidR="004F1693" w:rsidRPr="00243B3F" w:rsidRDefault="004F1693" w:rsidP="004F1693">
      <w:pPr>
        <w:spacing w:line="240" w:lineRule="auto"/>
        <w:jc w:val="right"/>
        <w:rPr>
          <w:sz w:val="28"/>
          <w:szCs w:val="28"/>
        </w:rPr>
      </w:pPr>
    </w:p>
    <w:p w:rsidR="004F1693" w:rsidRPr="00243B3F" w:rsidRDefault="004F1693" w:rsidP="004F1693">
      <w:pPr>
        <w:spacing w:line="240" w:lineRule="auto"/>
        <w:jc w:val="right"/>
        <w:rPr>
          <w:b/>
          <w:sz w:val="28"/>
          <w:szCs w:val="28"/>
        </w:rPr>
      </w:pPr>
      <w:r w:rsidRPr="00243B3F">
        <w:rPr>
          <w:sz w:val="28"/>
          <w:szCs w:val="28"/>
        </w:rPr>
        <w:tab/>
      </w:r>
      <w:r w:rsidRPr="00243B3F">
        <w:rPr>
          <w:sz w:val="28"/>
          <w:szCs w:val="28"/>
        </w:rPr>
        <w:tab/>
      </w:r>
      <w:r w:rsidRPr="00243B3F">
        <w:rPr>
          <w:sz w:val="28"/>
          <w:szCs w:val="28"/>
        </w:rPr>
        <w:tab/>
      </w:r>
      <w:r w:rsidRPr="00243B3F">
        <w:rPr>
          <w:sz w:val="28"/>
          <w:szCs w:val="28"/>
        </w:rPr>
        <w:tab/>
      </w:r>
      <w:r w:rsidRPr="00243B3F">
        <w:rPr>
          <w:sz w:val="28"/>
          <w:szCs w:val="28"/>
        </w:rPr>
        <w:tab/>
      </w:r>
      <w:r w:rsidRPr="00243B3F">
        <w:rPr>
          <w:sz w:val="28"/>
          <w:szCs w:val="28"/>
        </w:rPr>
        <w:tab/>
      </w:r>
      <w:r>
        <w:rPr>
          <w:b/>
          <w:sz w:val="28"/>
          <w:szCs w:val="28"/>
        </w:rPr>
        <w:t>Matthew D. Weidner, P.A.</w:t>
      </w:r>
      <w:r w:rsidRPr="00243B3F">
        <w:rPr>
          <w:b/>
          <w:sz w:val="28"/>
          <w:szCs w:val="28"/>
        </w:rPr>
        <w:t xml:space="preserve"> </w:t>
      </w:r>
    </w:p>
    <w:p w:rsidR="004F1693" w:rsidRPr="00243B3F" w:rsidRDefault="004F1693" w:rsidP="004F1693">
      <w:pPr>
        <w:spacing w:line="240" w:lineRule="auto"/>
        <w:jc w:val="right"/>
        <w:rPr>
          <w:sz w:val="28"/>
          <w:szCs w:val="28"/>
        </w:rPr>
      </w:pPr>
      <w:r w:rsidRPr="00243B3F">
        <w:rPr>
          <w:b/>
          <w:sz w:val="28"/>
          <w:szCs w:val="28"/>
        </w:rPr>
        <w:tab/>
      </w:r>
      <w:r w:rsidRPr="00243B3F">
        <w:rPr>
          <w:b/>
          <w:sz w:val="28"/>
          <w:szCs w:val="28"/>
        </w:rPr>
        <w:tab/>
      </w:r>
      <w:r w:rsidRPr="00243B3F">
        <w:rPr>
          <w:b/>
          <w:sz w:val="28"/>
          <w:szCs w:val="28"/>
        </w:rPr>
        <w:tab/>
      </w:r>
      <w:r w:rsidRPr="00243B3F">
        <w:rPr>
          <w:b/>
          <w:sz w:val="28"/>
          <w:szCs w:val="28"/>
        </w:rPr>
        <w:tab/>
      </w:r>
      <w:r w:rsidRPr="00243B3F">
        <w:rPr>
          <w:b/>
          <w:sz w:val="28"/>
          <w:szCs w:val="28"/>
        </w:rPr>
        <w:tab/>
      </w:r>
      <w:r w:rsidRPr="00243B3F">
        <w:rPr>
          <w:b/>
          <w:sz w:val="28"/>
          <w:szCs w:val="28"/>
        </w:rPr>
        <w:tab/>
      </w:r>
      <w:r w:rsidRPr="00243B3F">
        <w:rPr>
          <w:b/>
          <w:sz w:val="28"/>
          <w:szCs w:val="28"/>
        </w:rPr>
        <w:tab/>
        <w:t xml:space="preserve">  </w:t>
      </w:r>
      <w:r>
        <w:rPr>
          <w:sz w:val="28"/>
          <w:szCs w:val="28"/>
        </w:rPr>
        <w:t>Counsel for Appellants</w:t>
      </w:r>
    </w:p>
    <w:p w:rsidR="004F1693" w:rsidRPr="00243B3F" w:rsidRDefault="004F1693" w:rsidP="004F1693">
      <w:pPr>
        <w:spacing w:line="240" w:lineRule="auto"/>
        <w:jc w:val="right"/>
        <w:rPr>
          <w:sz w:val="28"/>
          <w:szCs w:val="28"/>
        </w:rPr>
      </w:pPr>
      <w:r w:rsidRPr="00243B3F">
        <w:rPr>
          <w:sz w:val="28"/>
          <w:szCs w:val="28"/>
        </w:rPr>
        <w:tab/>
      </w:r>
      <w:r w:rsidRPr="00243B3F">
        <w:rPr>
          <w:sz w:val="28"/>
          <w:szCs w:val="28"/>
        </w:rPr>
        <w:tab/>
      </w:r>
      <w:r w:rsidRPr="00243B3F">
        <w:rPr>
          <w:sz w:val="28"/>
          <w:szCs w:val="28"/>
        </w:rPr>
        <w:tab/>
      </w:r>
      <w:r w:rsidRPr="00243B3F">
        <w:rPr>
          <w:sz w:val="28"/>
          <w:szCs w:val="28"/>
        </w:rPr>
        <w:tab/>
      </w:r>
      <w:r w:rsidRPr="00243B3F">
        <w:rPr>
          <w:sz w:val="28"/>
          <w:szCs w:val="28"/>
        </w:rPr>
        <w:tab/>
      </w:r>
      <w:r w:rsidRPr="00243B3F">
        <w:rPr>
          <w:sz w:val="28"/>
          <w:szCs w:val="28"/>
        </w:rPr>
        <w:tab/>
      </w:r>
      <w:r w:rsidRPr="00243B3F">
        <w:rPr>
          <w:sz w:val="28"/>
          <w:szCs w:val="28"/>
        </w:rPr>
        <w:tab/>
        <w:t xml:space="preserve">  1229 Central Avenue</w:t>
      </w:r>
    </w:p>
    <w:p w:rsidR="004F1693" w:rsidRPr="00243B3F" w:rsidRDefault="004F1693" w:rsidP="004F1693">
      <w:pPr>
        <w:spacing w:line="240" w:lineRule="auto"/>
        <w:jc w:val="right"/>
        <w:rPr>
          <w:sz w:val="28"/>
          <w:szCs w:val="28"/>
        </w:rPr>
      </w:pPr>
      <w:r w:rsidRPr="00243B3F">
        <w:rPr>
          <w:sz w:val="28"/>
          <w:szCs w:val="28"/>
        </w:rPr>
        <w:tab/>
      </w:r>
      <w:r w:rsidRPr="00243B3F">
        <w:rPr>
          <w:sz w:val="28"/>
          <w:szCs w:val="28"/>
        </w:rPr>
        <w:tab/>
      </w:r>
      <w:r w:rsidRPr="00243B3F">
        <w:rPr>
          <w:sz w:val="28"/>
          <w:szCs w:val="28"/>
        </w:rPr>
        <w:tab/>
      </w:r>
      <w:r w:rsidRPr="00243B3F">
        <w:rPr>
          <w:sz w:val="28"/>
          <w:szCs w:val="28"/>
        </w:rPr>
        <w:tab/>
      </w:r>
      <w:r w:rsidRPr="00243B3F">
        <w:rPr>
          <w:sz w:val="28"/>
          <w:szCs w:val="28"/>
        </w:rPr>
        <w:tab/>
      </w:r>
      <w:r w:rsidRPr="00243B3F">
        <w:rPr>
          <w:sz w:val="28"/>
          <w:szCs w:val="28"/>
        </w:rPr>
        <w:tab/>
        <w:t xml:space="preserve"> </w:t>
      </w:r>
      <w:r w:rsidRPr="00243B3F">
        <w:rPr>
          <w:sz w:val="28"/>
          <w:szCs w:val="28"/>
        </w:rPr>
        <w:tab/>
        <w:t xml:space="preserve">  St. Petersburg, FL 33705</w:t>
      </w:r>
    </w:p>
    <w:p w:rsidR="004F1693" w:rsidRPr="00243B3F" w:rsidRDefault="004F1693" w:rsidP="004F1693">
      <w:pPr>
        <w:spacing w:line="240" w:lineRule="auto"/>
        <w:jc w:val="right"/>
        <w:rPr>
          <w:sz w:val="28"/>
          <w:szCs w:val="28"/>
        </w:rPr>
      </w:pPr>
      <w:r w:rsidRPr="00243B3F">
        <w:rPr>
          <w:sz w:val="28"/>
          <w:szCs w:val="28"/>
        </w:rPr>
        <w:tab/>
      </w:r>
      <w:r w:rsidRPr="00243B3F">
        <w:rPr>
          <w:sz w:val="28"/>
          <w:szCs w:val="28"/>
        </w:rPr>
        <w:tab/>
      </w:r>
      <w:r w:rsidRPr="00243B3F">
        <w:rPr>
          <w:sz w:val="28"/>
          <w:szCs w:val="28"/>
        </w:rPr>
        <w:tab/>
      </w:r>
      <w:r w:rsidRPr="00243B3F">
        <w:rPr>
          <w:sz w:val="28"/>
          <w:szCs w:val="28"/>
        </w:rPr>
        <w:tab/>
      </w:r>
      <w:r w:rsidRPr="00243B3F">
        <w:rPr>
          <w:sz w:val="28"/>
          <w:szCs w:val="28"/>
        </w:rPr>
        <w:tab/>
      </w:r>
      <w:r w:rsidRPr="00243B3F">
        <w:rPr>
          <w:sz w:val="28"/>
          <w:szCs w:val="28"/>
        </w:rPr>
        <w:tab/>
        <w:t xml:space="preserve">              Telephone: (727) 894-3159</w:t>
      </w:r>
    </w:p>
    <w:p w:rsidR="004F1693" w:rsidRDefault="004F1693" w:rsidP="004F1693">
      <w:pPr>
        <w:spacing w:line="240" w:lineRule="auto"/>
        <w:jc w:val="right"/>
        <w:rPr>
          <w:sz w:val="28"/>
          <w:szCs w:val="28"/>
        </w:rPr>
      </w:pPr>
      <w:r w:rsidRPr="00243B3F">
        <w:rPr>
          <w:sz w:val="28"/>
          <w:szCs w:val="28"/>
        </w:rPr>
        <w:tab/>
      </w:r>
      <w:r w:rsidRPr="00243B3F">
        <w:rPr>
          <w:sz w:val="28"/>
          <w:szCs w:val="28"/>
        </w:rPr>
        <w:tab/>
      </w:r>
      <w:r w:rsidRPr="00243B3F">
        <w:rPr>
          <w:sz w:val="28"/>
          <w:szCs w:val="28"/>
        </w:rPr>
        <w:tab/>
      </w:r>
      <w:r w:rsidRPr="00243B3F">
        <w:rPr>
          <w:sz w:val="28"/>
          <w:szCs w:val="28"/>
        </w:rPr>
        <w:tab/>
      </w:r>
      <w:r w:rsidRPr="00243B3F">
        <w:rPr>
          <w:sz w:val="28"/>
          <w:szCs w:val="28"/>
        </w:rPr>
        <w:tab/>
      </w:r>
      <w:r w:rsidRPr="00243B3F">
        <w:rPr>
          <w:sz w:val="28"/>
          <w:szCs w:val="28"/>
        </w:rPr>
        <w:tab/>
      </w:r>
      <w:r w:rsidRPr="00243B3F">
        <w:rPr>
          <w:sz w:val="28"/>
          <w:szCs w:val="28"/>
        </w:rPr>
        <w:tab/>
        <w:t xml:space="preserve">  Facsimile: (727) 894-2953</w:t>
      </w:r>
    </w:p>
    <w:p w:rsidR="00C2686F" w:rsidRDefault="00C2686F" w:rsidP="004F1693">
      <w:pPr>
        <w:spacing w:line="240" w:lineRule="auto"/>
        <w:jc w:val="right"/>
        <w:rPr>
          <w:sz w:val="28"/>
          <w:szCs w:val="28"/>
        </w:rPr>
      </w:pPr>
    </w:p>
    <w:p w:rsidR="004F1693" w:rsidRDefault="004F1693" w:rsidP="004F1693">
      <w:pPr>
        <w:spacing w:line="240" w:lineRule="auto"/>
        <w:rPr>
          <w:sz w:val="28"/>
          <w:szCs w:val="28"/>
        </w:rPr>
      </w:pPr>
      <w:r>
        <w:rPr>
          <w:sz w:val="28"/>
          <w:szCs w:val="28"/>
        </w:rPr>
        <w:t xml:space="preserve">By:_________________________          </w:t>
      </w:r>
      <w:r>
        <w:rPr>
          <w:sz w:val="28"/>
          <w:szCs w:val="28"/>
        </w:rPr>
        <w:tab/>
        <w:t xml:space="preserve">     By:_________________________</w:t>
      </w:r>
    </w:p>
    <w:p w:rsidR="004F1693" w:rsidRDefault="004F1693" w:rsidP="004F1693">
      <w:pPr>
        <w:spacing w:line="240" w:lineRule="auto"/>
        <w:rPr>
          <w:sz w:val="28"/>
          <w:szCs w:val="28"/>
        </w:rPr>
      </w:pPr>
      <w:r>
        <w:rPr>
          <w:sz w:val="28"/>
          <w:szCs w:val="28"/>
        </w:rPr>
        <w:t xml:space="preserve">     Matthew D. Weidner, Esq. </w:t>
      </w:r>
      <w:r>
        <w:rPr>
          <w:sz w:val="28"/>
          <w:szCs w:val="28"/>
        </w:rPr>
        <w:tab/>
      </w:r>
      <w:r>
        <w:rPr>
          <w:sz w:val="28"/>
          <w:szCs w:val="28"/>
        </w:rPr>
        <w:tab/>
      </w:r>
      <w:r>
        <w:rPr>
          <w:sz w:val="28"/>
          <w:szCs w:val="28"/>
        </w:rPr>
        <w:tab/>
      </w:r>
      <w:r>
        <w:rPr>
          <w:sz w:val="28"/>
          <w:szCs w:val="28"/>
        </w:rPr>
        <w:tab/>
        <w:t>Michael P. Fuino, Esq.</w:t>
      </w:r>
    </w:p>
    <w:p w:rsidR="003B5CCD" w:rsidRDefault="004F1693" w:rsidP="00655DDA">
      <w:pPr>
        <w:spacing w:line="240" w:lineRule="auto"/>
        <w:rPr>
          <w:sz w:val="28"/>
          <w:szCs w:val="28"/>
        </w:rPr>
      </w:pPr>
      <w:r>
        <w:rPr>
          <w:sz w:val="28"/>
          <w:szCs w:val="28"/>
        </w:rPr>
        <w:t xml:space="preserve">     Florida Bar No. </w:t>
      </w:r>
      <w:r w:rsidRPr="00243B3F">
        <w:rPr>
          <w:sz w:val="28"/>
          <w:szCs w:val="28"/>
        </w:rPr>
        <w:t>185957</w:t>
      </w:r>
      <w:r>
        <w:rPr>
          <w:sz w:val="28"/>
          <w:szCs w:val="28"/>
        </w:rPr>
        <w:t xml:space="preserve"> </w:t>
      </w:r>
      <w:r>
        <w:rPr>
          <w:sz w:val="28"/>
          <w:szCs w:val="28"/>
        </w:rPr>
        <w:tab/>
      </w:r>
      <w:r>
        <w:rPr>
          <w:sz w:val="28"/>
          <w:szCs w:val="28"/>
        </w:rPr>
        <w:tab/>
      </w:r>
      <w:r>
        <w:rPr>
          <w:sz w:val="28"/>
          <w:szCs w:val="28"/>
        </w:rPr>
        <w:tab/>
      </w:r>
      <w:r>
        <w:rPr>
          <w:sz w:val="28"/>
          <w:szCs w:val="28"/>
        </w:rPr>
        <w:tab/>
        <w:t>Florida Bar No. 84191</w:t>
      </w:r>
    </w:p>
    <w:p w:rsidR="00655DDA" w:rsidRDefault="00655DDA" w:rsidP="00655DDA">
      <w:pPr>
        <w:spacing w:line="240" w:lineRule="auto"/>
        <w:rPr>
          <w:sz w:val="28"/>
          <w:szCs w:val="28"/>
        </w:rPr>
      </w:pPr>
    </w:p>
    <w:p w:rsidR="00655DDA" w:rsidRDefault="00655DDA" w:rsidP="00655DDA">
      <w:pPr>
        <w:spacing w:line="480" w:lineRule="auto"/>
        <w:jc w:val="center"/>
        <w:rPr>
          <w:b/>
          <w:caps/>
          <w:sz w:val="28"/>
          <w:szCs w:val="28"/>
        </w:rPr>
      </w:pPr>
      <w:r>
        <w:rPr>
          <w:b/>
          <w:caps/>
          <w:sz w:val="28"/>
          <w:szCs w:val="28"/>
        </w:rPr>
        <w:t>certificate of service</w:t>
      </w:r>
    </w:p>
    <w:p w:rsidR="00655DDA" w:rsidRPr="00655DDA" w:rsidRDefault="00655DDA" w:rsidP="00655DDA">
      <w:pPr>
        <w:spacing w:line="480" w:lineRule="auto"/>
        <w:ind w:firstLine="720"/>
        <w:jc w:val="both"/>
        <w:rPr>
          <w:sz w:val="28"/>
          <w:szCs w:val="28"/>
        </w:rPr>
      </w:pPr>
      <w:r w:rsidRPr="00655DDA">
        <w:rPr>
          <w:caps/>
          <w:sz w:val="28"/>
          <w:szCs w:val="28"/>
        </w:rPr>
        <w:tab/>
        <w:t>I hereby certify</w:t>
      </w:r>
      <w:r w:rsidRPr="00655DDA">
        <w:rPr>
          <w:sz w:val="28"/>
          <w:szCs w:val="28"/>
        </w:rPr>
        <w:t xml:space="preserve"> that a true and correct copy of the foregoing has been furnished by U.S. mail on this ____ day of </w:t>
      </w:r>
      <w:r w:rsidR="00824BD8">
        <w:rPr>
          <w:sz w:val="28"/>
          <w:szCs w:val="28"/>
        </w:rPr>
        <w:t>June</w:t>
      </w:r>
      <w:r w:rsidRPr="00655DDA">
        <w:rPr>
          <w:sz w:val="28"/>
          <w:szCs w:val="28"/>
        </w:rPr>
        <w:t>, 2012 to</w:t>
      </w:r>
      <w:r w:rsidRPr="00655DDA">
        <w:rPr>
          <w:caps/>
          <w:sz w:val="28"/>
          <w:szCs w:val="28"/>
        </w:rPr>
        <w:t xml:space="preserve"> </w:t>
      </w:r>
      <w:r w:rsidR="00824BD8">
        <w:rPr>
          <w:b/>
          <w:sz w:val="28"/>
          <w:szCs w:val="28"/>
        </w:rPr>
        <w:t>Ron Gache</w:t>
      </w:r>
      <w:r w:rsidRPr="00655DDA">
        <w:rPr>
          <w:b/>
          <w:sz w:val="28"/>
          <w:szCs w:val="28"/>
        </w:rPr>
        <w:t>, Esq.</w:t>
      </w:r>
      <w:r w:rsidRPr="00655DDA">
        <w:rPr>
          <w:sz w:val="28"/>
          <w:szCs w:val="28"/>
        </w:rPr>
        <w:t xml:space="preserve">, Shapiro, Fishman, &amp; Gache, 4630 Woodland Corporate Blvd., Suite 100, Tampa, FL 33164; </w:t>
      </w:r>
      <w:r w:rsidRPr="00655DDA">
        <w:rPr>
          <w:b/>
          <w:sz w:val="28"/>
          <w:szCs w:val="28"/>
        </w:rPr>
        <w:t>Richard B. Badgley, Esq.</w:t>
      </w:r>
      <w:r w:rsidRPr="00655DDA">
        <w:rPr>
          <w:sz w:val="28"/>
          <w:szCs w:val="28"/>
        </w:rPr>
        <w:t xml:space="preserve">, P.O. Box 2842, St. Petersburg, FL 33731; </w:t>
      </w:r>
      <w:r w:rsidRPr="00655DDA">
        <w:rPr>
          <w:b/>
          <w:sz w:val="28"/>
          <w:szCs w:val="28"/>
        </w:rPr>
        <w:t>Suntrust Bank, c/o Corporate Creations Network, Inc. – Registered Agent</w:t>
      </w:r>
      <w:r w:rsidRPr="00655DDA">
        <w:rPr>
          <w:sz w:val="28"/>
          <w:szCs w:val="28"/>
        </w:rPr>
        <w:t xml:space="preserve">, 11380 Prosperity Farms Road #221E, Palm Beach Gardens, FL 33410; and </w:t>
      </w:r>
      <w:r w:rsidRPr="00655DDA">
        <w:rPr>
          <w:b/>
          <w:sz w:val="28"/>
          <w:szCs w:val="28"/>
        </w:rPr>
        <w:lastRenderedPageBreak/>
        <w:t>Harbor Isle Homeowners Association, Inc., c/o Raul Bermudez – Registered Agent</w:t>
      </w:r>
      <w:r w:rsidRPr="00655DDA">
        <w:rPr>
          <w:sz w:val="28"/>
          <w:szCs w:val="28"/>
        </w:rPr>
        <w:t>, 1594 72</w:t>
      </w:r>
      <w:r w:rsidRPr="00655DDA">
        <w:rPr>
          <w:sz w:val="28"/>
          <w:szCs w:val="28"/>
          <w:vertAlign w:val="superscript"/>
        </w:rPr>
        <w:t>nd</w:t>
      </w:r>
      <w:r w:rsidRPr="00655DDA">
        <w:rPr>
          <w:sz w:val="28"/>
          <w:szCs w:val="28"/>
        </w:rPr>
        <w:t xml:space="preserve"> Avenue Northeast</w:t>
      </w:r>
      <w:r>
        <w:rPr>
          <w:sz w:val="28"/>
          <w:szCs w:val="28"/>
        </w:rPr>
        <w:t>, St. Petersburg, FL 33702.</w:t>
      </w:r>
      <w:r>
        <w:rPr>
          <w:sz w:val="28"/>
          <w:szCs w:val="28"/>
        </w:rPr>
        <w:tab/>
      </w:r>
      <w:r>
        <w:rPr>
          <w:sz w:val="28"/>
          <w:szCs w:val="28"/>
        </w:rPr>
        <w:tab/>
      </w:r>
    </w:p>
    <w:p w:rsidR="00655DDA" w:rsidRDefault="00655DDA" w:rsidP="00655DDA">
      <w:pPr>
        <w:spacing w:line="240" w:lineRule="auto"/>
        <w:jc w:val="both"/>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 xml:space="preserve">_________________________          </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 xml:space="preserve">          Michael P. Fuino, Esq. </w:t>
      </w:r>
      <w:r>
        <w:rPr>
          <w:sz w:val="28"/>
          <w:szCs w:val="28"/>
        </w:rPr>
        <w:tab/>
      </w:r>
    </w:p>
    <w:p w:rsidR="00655DDA" w:rsidRPr="00E20598" w:rsidRDefault="00655DDA" w:rsidP="00655DDA">
      <w:pPr>
        <w:spacing w:line="240" w:lineRule="auto"/>
        <w:jc w:val="both"/>
        <w:rPr>
          <w:sz w:val="28"/>
          <w:szCs w:val="28"/>
        </w:rPr>
      </w:pPr>
      <w:r>
        <w:rPr>
          <w:sz w:val="28"/>
          <w:szCs w:val="28"/>
        </w:rPr>
        <w:tab/>
      </w:r>
    </w:p>
    <w:p w:rsidR="00655DDA" w:rsidRDefault="00655DDA" w:rsidP="00655DDA">
      <w:pPr>
        <w:spacing w:line="480" w:lineRule="auto"/>
        <w:jc w:val="center"/>
        <w:rPr>
          <w:b/>
          <w:caps/>
          <w:sz w:val="28"/>
          <w:szCs w:val="28"/>
        </w:rPr>
      </w:pPr>
      <w:r w:rsidRPr="00DA163E">
        <w:rPr>
          <w:b/>
          <w:caps/>
          <w:sz w:val="28"/>
          <w:szCs w:val="28"/>
        </w:rPr>
        <w:t>Certificate of compliance</w:t>
      </w:r>
    </w:p>
    <w:p w:rsidR="00655DDA" w:rsidRPr="00DA163E" w:rsidRDefault="00655DDA" w:rsidP="00655DDA">
      <w:pPr>
        <w:spacing w:line="480" w:lineRule="auto"/>
        <w:jc w:val="both"/>
        <w:rPr>
          <w:sz w:val="28"/>
          <w:szCs w:val="28"/>
        </w:rPr>
      </w:pPr>
      <w:r>
        <w:rPr>
          <w:sz w:val="28"/>
          <w:szCs w:val="28"/>
        </w:rPr>
        <w:tab/>
        <w:t>The undersigned certifies that this petition complies with the font requirements set forth in Rule 9.210(a)(2), Fla. R. App. P.</w:t>
      </w:r>
    </w:p>
    <w:p w:rsidR="00655DDA" w:rsidRDefault="00655DDA" w:rsidP="00655DDA">
      <w:pPr>
        <w:spacing w:line="240" w:lineRule="auto"/>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 xml:space="preserve"> _________________________          </w:t>
      </w:r>
    </w:p>
    <w:p w:rsidR="00655DDA" w:rsidRDefault="00655DDA" w:rsidP="00655DDA">
      <w:pPr>
        <w:spacing w:line="240" w:lineRule="auto"/>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 xml:space="preserve">           Michael P. Fuino, Esq.</w:t>
      </w:r>
    </w:p>
    <w:p w:rsidR="00655DDA" w:rsidRPr="0029400B" w:rsidRDefault="00655DDA" w:rsidP="0029400B">
      <w:pPr>
        <w:spacing w:line="480" w:lineRule="auto"/>
        <w:jc w:val="both"/>
        <w:rPr>
          <w:sz w:val="28"/>
          <w:szCs w:val="28"/>
        </w:rPr>
      </w:pPr>
    </w:p>
    <w:p w:rsidR="00B909A8" w:rsidRPr="0029400B" w:rsidRDefault="00B909A8" w:rsidP="0029400B">
      <w:pPr>
        <w:spacing w:line="480" w:lineRule="auto"/>
        <w:jc w:val="both"/>
        <w:rPr>
          <w:b/>
          <w:sz w:val="28"/>
          <w:szCs w:val="28"/>
        </w:rPr>
      </w:pPr>
      <w:r w:rsidRPr="0029400B">
        <w:rPr>
          <w:b/>
          <w:sz w:val="28"/>
          <w:szCs w:val="28"/>
        </w:rPr>
        <w:t xml:space="preserve"> </w:t>
      </w:r>
    </w:p>
    <w:p w:rsidR="0064404C" w:rsidRDefault="0064404C"/>
    <w:sectPr w:rsidR="0064404C" w:rsidSect="00824BD8">
      <w:footerReference w:type="default" r:id="rId13"/>
      <w:type w:val="continuous"/>
      <w:pgSz w:w="12240" w:h="15840"/>
      <w:pgMar w:top="1440" w:right="1440" w:bottom="1440" w:left="1440" w:header="720" w:footer="720" w:gutter="0"/>
      <w:pgNumType w:start="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648BF" w:rsidRDefault="00B648BF" w:rsidP="00AF4905">
      <w:pPr>
        <w:spacing w:line="240" w:lineRule="auto"/>
      </w:pPr>
      <w:r>
        <w:separator/>
      </w:r>
    </w:p>
  </w:endnote>
  <w:endnote w:type="continuationSeparator" w:id="1">
    <w:p w:rsidR="00B648BF" w:rsidRDefault="00B648BF" w:rsidP="00AF4905">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MalgunGothicRegular">
    <w:panose1 w:val="00000000000000000000"/>
    <w:charset w:val="00"/>
    <w:family w:val="swiss"/>
    <w:notTrueType/>
    <w:pitch w:val="default"/>
    <w:sig w:usb0="00000003" w:usb1="00000000" w:usb2="00000000" w:usb3="00000000" w:csb0="00000001" w:csb1="00000000"/>
  </w:font>
  <w:font w:name="Times New Roman Bold">
    <w:panose1 w:val="02020803070505020304"/>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329362"/>
      <w:docPartObj>
        <w:docPartGallery w:val="Page Numbers (Bottom of Page)"/>
        <w:docPartUnique/>
      </w:docPartObj>
    </w:sdtPr>
    <w:sdtContent>
      <w:p w:rsidR="00824BD8" w:rsidRDefault="003A5127">
        <w:pPr>
          <w:pStyle w:val="Footer"/>
          <w:jc w:val="center"/>
        </w:pPr>
        <w:fldSimple w:instr=" PAGE   \* MERGEFORMAT ">
          <w:r w:rsidR="00276300">
            <w:rPr>
              <w:noProof/>
            </w:rPr>
            <w:t>ii</w:t>
          </w:r>
        </w:fldSimple>
      </w:p>
    </w:sdtContent>
  </w:sdt>
  <w:p w:rsidR="00824BD8" w:rsidRDefault="00824BD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329368"/>
      <w:docPartObj>
        <w:docPartGallery w:val="Page Numbers (Bottom of Page)"/>
        <w:docPartUnique/>
      </w:docPartObj>
    </w:sdtPr>
    <w:sdtContent>
      <w:p w:rsidR="00276300" w:rsidRDefault="00276300">
        <w:pPr>
          <w:pStyle w:val="Footer"/>
          <w:jc w:val="center"/>
        </w:pPr>
        <w:r>
          <w:t>i</w:t>
        </w:r>
      </w:p>
    </w:sdtContent>
  </w:sdt>
  <w:p w:rsidR="00276300" w:rsidRDefault="0027630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329374"/>
      <w:docPartObj>
        <w:docPartGallery w:val="Page Numbers (Bottom of Page)"/>
        <w:docPartUnique/>
      </w:docPartObj>
    </w:sdtPr>
    <w:sdtContent>
      <w:p w:rsidR="00276300" w:rsidRDefault="003A5127">
        <w:pPr>
          <w:pStyle w:val="Footer"/>
          <w:jc w:val="center"/>
        </w:pPr>
        <w:fldSimple w:instr=" PAGE   \* MERGEFORMAT ">
          <w:r w:rsidR="00D134EB">
            <w:rPr>
              <w:noProof/>
            </w:rPr>
            <w:t>vi</w:t>
          </w:r>
        </w:fldSimple>
      </w:p>
    </w:sdtContent>
  </w:sdt>
  <w:p w:rsidR="00276300" w:rsidRDefault="00276300">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329363"/>
      <w:docPartObj>
        <w:docPartGallery w:val="Page Numbers (Bottom of Page)"/>
        <w:docPartUnique/>
      </w:docPartObj>
    </w:sdtPr>
    <w:sdtContent>
      <w:p w:rsidR="00824BD8" w:rsidRDefault="003A5127">
        <w:pPr>
          <w:pStyle w:val="Footer"/>
          <w:jc w:val="center"/>
        </w:pPr>
        <w:fldSimple w:instr=" PAGE   \* MERGEFORMAT ">
          <w:r w:rsidR="00D134EB">
            <w:rPr>
              <w:noProof/>
            </w:rPr>
            <w:t>34</w:t>
          </w:r>
        </w:fldSimple>
      </w:p>
    </w:sdtContent>
  </w:sdt>
  <w:p w:rsidR="00824BD8" w:rsidRDefault="00824BD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648BF" w:rsidRDefault="00B648BF" w:rsidP="00AF4905">
      <w:pPr>
        <w:spacing w:line="240" w:lineRule="auto"/>
      </w:pPr>
      <w:r>
        <w:separator/>
      </w:r>
    </w:p>
  </w:footnote>
  <w:footnote w:type="continuationSeparator" w:id="1">
    <w:p w:rsidR="00B648BF" w:rsidRDefault="00B648BF" w:rsidP="00AF4905">
      <w:pPr>
        <w:spacing w:line="240" w:lineRule="auto"/>
      </w:pPr>
      <w:r>
        <w:continuationSeparator/>
      </w:r>
    </w:p>
  </w:footnote>
  <w:footnote w:id="2">
    <w:p w:rsidR="00B648BF" w:rsidRPr="00744A0B" w:rsidRDefault="00B648BF" w:rsidP="00744A0B">
      <w:pPr>
        <w:pStyle w:val="FootnoteText"/>
        <w:jc w:val="both"/>
        <w:rPr>
          <w:sz w:val="28"/>
          <w:szCs w:val="28"/>
        </w:rPr>
      </w:pPr>
      <w:r w:rsidRPr="00744A0B">
        <w:rPr>
          <w:rStyle w:val="FootnoteReference"/>
          <w:sz w:val="28"/>
          <w:szCs w:val="28"/>
        </w:rPr>
        <w:footnoteRef/>
      </w:r>
      <w:r w:rsidRPr="00744A0B">
        <w:rPr>
          <w:sz w:val="28"/>
          <w:szCs w:val="28"/>
        </w:rPr>
        <w:t xml:space="preserve"> RCS’s corporate representative also testified at the trial that RCS was also only the “servicer” of the promissory note and mortgage.  [T. 77].</w:t>
      </w:r>
    </w:p>
    <w:p w:rsidR="00B648BF" w:rsidRPr="00744A0B" w:rsidRDefault="00B648BF">
      <w:pPr>
        <w:pStyle w:val="FootnoteText"/>
        <w:rPr>
          <w:sz w:val="28"/>
          <w:szCs w:val="28"/>
        </w:rPr>
      </w:pPr>
    </w:p>
  </w:footnote>
  <w:footnote w:id="3">
    <w:p w:rsidR="00B648BF" w:rsidRPr="00972D0A" w:rsidRDefault="00B648BF" w:rsidP="00972D0A">
      <w:pPr>
        <w:pStyle w:val="FootnoteText"/>
        <w:jc w:val="both"/>
        <w:rPr>
          <w:sz w:val="28"/>
          <w:szCs w:val="28"/>
        </w:rPr>
      </w:pPr>
      <w:r w:rsidRPr="00972D0A">
        <w:rPr>
          <w:rStyle w:val="FootnoteReference"/>
          <w:sz w:val="28"/>
          <w:szCs w:val="28"/>
        </w:rPr>
        <w:footnoteRef/>
      </w:r>
      <w:r w:rsidRPr="00972D0A">
        <w:rPr>
          <w:sz w:val="28"/>
          <w:szCs w:val="28"/>
        </w:rPr>
        <w:t xml:space="preserve"> Clause 22 of the mortgage provides, in pertinent part, that “[i]f the default is not cured on or before the date specified in the notice, </w:t>
      </w:r>
      <w:r w:rsidRPr="00B648BF">
        <w:rPr>
          <w:b/>
          <w:sz w:val="28"/>
          <w:szCs w:val="28"/>
        </w:rPr>
        <w:t>Lender at is option…may foreclose this Security Instrument</w:t>
      </w:r>
      <w:r w:rsidRPr="00972D0A">
        <w:rPr>
          <w:sz w:val="28"/>
          <w:szCs w:val="28"/>
        </w:rPr>
        <w:t>.”</w:t>
      </w:r>
      <w:r>
        <w:rPr>
          <w:sz w:val="28"/>
          <w:szCs w:val="28"/>
        </w:rPr>
        <w:t xml:space="preserve">  (Bold emphasis added).  On the other hand, Clause 7 of the promissory note, entitled “Borrower’s Failure to Pay as Required,” is silent as to foreclosure of the mortgage.</w:t>
      </w:r>
    </w:p>
  </w:footnote>
  <w:footnote w:id="4">
    <w:p w:rsidR="00B648BF" w:rsidRPr="00AF4905" w:rsidRDefault="00B648BF" w:rsidP="00AF4905">
      <w:pPr>
        <w:pStyle w:val="FootnoteText"/>
        <w:jc w:val="both"/>
        <w:rPr>
          <w:sz w:val="28"/>
          <w:szCs w:val="28"/>
        </w:rPr>
      </w:pPr>
      <w:r w:rsidRPr="00AF4905">
        <w:rPr>
          <w:rStyle w:val="FootnoteReference"/>
          <w:sz w:val="28"/>
          <w:szCs w:val="28"/>
        </w:rPr>
        <w:footnoteRef/>
      </w:r>
      <w:r w:rsidRPr="00AF4905">
        <w:rPr>
          <w:sz w:val="28"/>
          <w:szCs w:val="28"/>
        </w:rPr>
        <w:t xml:space="preserve"> In addition to a “holder” two other “persons” are entitled to enforce a negotiable instrument: (1) a non-holder in possession of the instrument with the rights of a holder; and (2) a person not in possession of the instrument who is entitled to enforce the instrument pursuant to Fla. Stat. §§673.3091 or 673.4181(4).  Fla. Stat. §673.3011</w:t>
      </w:r>
      <w:r>
        <w:rPr>
          <w:sz w:val="28"/>
          <w:szCs w:val="28"/>
        </w:rPr>
        <w:t>(2) and (3)</w:t>
      </w:r>
      <w:r w:rsidRPr="00AF4905">
        <w:rPr>
          <w:sz w:val="28"/>
          <w:szCs w:val="28"/>
        </w:rPr>
        <w:t xml:space="preserve">.  </w:t>
      </w:r>
      <w:r w:rsidRPr="00AF4905">
        <w:rPr>
          <w:i/>
          <w:sz w:val="28"/>
          <w:szCs w:val="28"/>
        </w:rPr>
        <w:t>See also Taylor</w:t>
      </w:r>
      <w:r w:rsidRPr="00AF4905">
        <w:rPr>
          <w:sz w:val="28"/>
          <w:szCs w:val="28"/>
        </w:rPr>
        <w:t>, 44 So. 3d at 622.</w:t>
      </w:r>
      <w:r>
        <w:rPr>
          <w:sz w:val="28"/>
          <w:szCs w:val="28"/>
        </w:rPr>
        <w:t xml:space="preserve">  However, since RCS claimed to be the “holder” of the note at trial, </w:t>
      </w:r>
      <w:r w:rsidRPr="00AF4905">
        <w:rPr>
          <w:sz w:val="28"/>
          <w:szCs w:val="28"/>
        </w:rPr>
        <w:t>§673.3011</w:t>
      </w:r>
      <w:r>
        <w:rPr>
          <w:sz w:val="28"/>
          <w:szCs w:val="28"/>
        </w:rPr>
        <w:t>(2) and (3) need not be discussed here.</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FB14C9"/>
    <w:multiLevelType w:val="hybridMultilevel"/>
    <w:tmpl w:val="42CE51BA"/>
    <w:lvl w:ilvl="0" w:tplc="71E6296A">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13F2631D"/>
    <w:multiLevelType w:val="hybridMultilevel"/>
    <w:tmpl w:val="DB2A8A42"/>
    <w:lvl w:ilvl="0" w:tplc="879252D2">
      <w:start w:val="1"/>
      <w:numFmt w:val="lowerRoman"/>
      <w:lvlText w:val="%1."/>
      <w:lvlJc w:val="left"/>
      <w:pPr>
        <w:ind w:left="216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185D5FDC"/>
    <w:multiLevelType w:val="hybridMultilevel"/>
    <w:tmpl w:val="ED849E76"/>
    <w:lvl w:ilvl="0" w:tplc="EC2C007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1D81F75"/>
    <w:multiLevelType w:val="hybridMultilevel"/>
    <w:tmpl w:val="85F6A37C"/>
    <w:lvl w:ilvl="0" w:tplc="79182C64">
      <w:start w:val="1"/>
      <w:numFmt w:val="lowerLetter"/>
      <w:lvlText w:val="%1."/>
      <w:lvlJc w:val="left"/>
      <w:pPr>
        <w:ind w:left="144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2A0D77BC"/>
    <w:multiLevelType w:val="hybridMultilevel"/>
    <w:tmpl w:val="C6EA8754"/>
    <w:lvl w:ilvl="0" w:tplc="761A48B6">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nsid w:val="2D612F84"/>
    <w:multiLevelType w:val="hybridMultilevel"/>
    <w:tmpl w:val="B5A890B8"/>
    <w:lvl w:ilvl="0" w:tplc="49325784">
      <w:start w:val="1"/>
      <w:numFmt w:val="lowerLetter"/>
      <w:lvlText w:val="%1."/>
      <w:lvlJc w:val="left"/>
      <w:pPr>
        <w:ind w:left="144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34A13437"/>
    <w:multiLevelType w:val="hybridMultilevel"/>
    <w:tmpl w:val="26BA0EE0"/>
    <w:lvl w:ilvl="0" w:tplc="27D8EA96">
      <w:start w:val="1"/>
      <w:numFmt w:val="lowerLetter"/>
      <w:lvlText w:val="%1."/>
      <w:lvlJc w:val="left"/>
      <w:pPr>
        <w:ind w:left="1440" w:hanging="360"/>
      </w:pPr>
      <w:rPr>
        <w:rFonts w:ascii="Times New Roman" w:eastAsia="Calibri" w:hAnsi="Times New Roman" w:cs="Times New Roman"/>
        <w:b w:val="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365E7ECE"/>
    <w:multiLevelType w:val="hybridMultilevel"/>
    <w:tmpl w:val="5A480218"/>
    <w:lvl w:ilvl="0" w:tplc="9168CD26">
      <w:start w:val="1"/>
      <w:numFmt w:val="decimal"/>
      <w:lvlText w:val="%1."/>
      <w:lvlJc w:val="left"/>
      <w:pPr>
        <w:ind w:left="720" w:hanging="360"/>
      </w:pPr>
      <w:rPr>
        <w:rFonts w:hint="default"/>
        <w:b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9D908D4"/>
    <w:multiLevelType w:val="hybridMultilevel"/>
    <w:tmpl w:val="09704BE2"/>
    <w:lvl w:ilvl="0" w:tplc="C38C510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525260CC"/>
    <w:multiLevelType w:val="hybridMultilevel"/>
    <w:tmpl w:val="619C08B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90902CC"/>
    <w:multiLevelType w:val="hybridMultilevel"/>
    <w:tmpl w:val="3B60527E"/>
    <w:lvl w:ilvl="0" w:tplc="B3D8034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5D3F09C1"/>
    <w:multiLevelType w:val="hybridMultilevel"/>
    <w:tmpl w:val="5A34EA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38D5A7D"/>
    <w:multiLevelType w:val="hybridMultilevel"/>
    <w:tmpl w:val="1F14877A"/>
    <w:lvl w:ilvl="0" w:tplc="6602D06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648933D7"/>
    <w:multiLevelType w:val="hybridMultilevel"/>
    <w:tmpl w:val="7F046388"/>
    <w:lvl w:ilvl="0" w:tplc="C3F4EF1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2"/>
  </w:num>
  <w:num w:numId="2">
    <w:abstractNumId w:val="12"/>
  </w:num>
  <w:num w:numId="3">
    <w:abstractNumId w:val="10"/>
  </w:num>
  <w:num w:numId="4">
    <w:abstractNumId w:val="0"/>
  </w:num>
  <w:num w:numId="5">
    <w:abstractNumId w:val="4"/>
  </w:num>
  <w:num w:numId="6">
    <w:abstractNumId w:val="11"/>
  </w:num>
  <w:num w:numId="7">
    <w:abstractNumId w:val="7"/>
  </w:num>
  <w:num w:numId="8">
    <w:abstractNumId w:val="8"/>
  </w:num>
  <w:num w:numId="9">
    <w:abstractNumId w:val="13"/>
  </w:num>
  <w:num w:numId="10">
    <w:abstractNumId w:val="9"/>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drawingGridHorizontalSpacing w:val="120"/>
  <w:displayHorizontalDrawingGridEvery w:val="2"/>
  <w:characterSpacingControl w:val="doNotCompress"/>
  <w:hdrShapeDefaults>
    <o:shapedefaults v:ext="edit" spidmax="4097"/>
  </w:hdrShapeDefaults>
  <w:footnotePr>
    <w:footnote w:id="0"/>
    <w:footnote w:id="1"/>
  </w:footnotePr>
  <w:endnotePr>
    <w:endnote w:id="0"/>
    <w:endnote w:id="1"/>
  </w:endnotePr>
  <w:compat/>
  <w:rsids>
    <w:rsidRoot w:val="00CF5528"/>
    <w:rsid w:val="00027782"/>
    <w:rsid w:val="00042F2C"/>
    <w:rsid w:val="000555DB"/>
    <w:rsid w:val="00062482"/>
    <w:rsid w:val="00075659"/>
    <w:rsid w:val="000809C5"/>
    <w:rsid w:val="0009150F"/>
    <w:rsid w:val="000A4CFE"/>
    <w:rsid w:val="000C1B0E"/>
    <w:rsid w:val="000C780B"/>
    <w:rsid w:val="000D74B2"/>
    <w:rsid w:val="000F1387"/>
    <w:rsid w:val="001300CB"/>
    <w:rsid w:val="001747C9"/>
    <w:rsid w:val="001B06EF"/>
    <w:rsid w:val="001C5222"/>
    <w:rsid w:val="001F7B2C"/>
    <w:rsid w:val="002104E6"/>
    <w:rsid w:val="002509DA"/>
    <w:rsid w:val="00276300"/>
    <w:rsid w:val="0029400B"/>
    <w:rsid w:val="002A1E1F"/>
    <w:rsid w:val="002B42DC"/>
    <w:rsid w:val="002C0B78"/>
    <w:rsid w:val="002E705A"/>
    <w:rsid w:val="0033052D"/>
    <w:rsid w:val="00337781"/>
    <w:rsid w:val="003675FC"/>
    <w:rsid w:val="0037670C"/>
    <w:rsid w:val="00387F64"/>
    <w:rsid w:val="003A5127"/>
    <w:rsid w:val="003B5CCD"/>
    <w:rsid w:val="003D0D3E"/>
    <w:rsid w:val="00456CC7"/>
    <w:rsid w:val="0048008A"/>
    <w:rsid w:val="004810DD"/>
    <w:rsid w:val="004867A2"/>
    <w:rsid w:val="00493D79"/>
    <w:rsid w:val="00497392"/>
    <w:rsid w:val="004E15BD"/>
    <w:rsid w:val="004F1693"/>
    <w:rsid w:val="005312B9"/>
    <w:rsid w:val="00535CE3"/>
    <w:rsid w:val="00543083"/>
    <w:rsid w:val="00567317"/>
    <w:rsid w:val="005B35B3"/>
    <w:rsid w:val="005C279B"/>
    <w:rsid w:val="005D13BC"/>
    <w:rsid w:val="00636BDC"/>
    <w:rsid w:val="00642B37"/>
    <w:rsid w:val="00643D79"/>
    <w:rsid w:val="0064404C"/>
    <w:rsid w:val="0065495E"/>
    <w:rsid w:val="00655DDA"/>
    <w:rsid w:val="00671662"/>
    <w:rsid w:val="00674931"/>
    <w:rsid w:val="00693319"/>
    <w:rsid w:val="00697002"/>
    <w:rsid w:val="006B2183"/>
    <w:rsid w:val="006E2000"/>
    <w:rsid w:val="00702EF9"/>
    <w:rsid w:val="00711B16"/>
    <w:rsid w:val="007162A3"/>
    <w:rsid w:val="00744A0B"/>
    <w:rsid w:val="007860F9"/>
    <w:rsid w:val="00791073"/>
    <w:rsid w:val="007B5C67"/>
    <w:rsid w:val="00824BD8"/>
    <w:rsid w:val="00825ED0"/>
    <w:rsid w:val="00852C5A"/>
    <w:rsid w:val="00875EAB"/>
    <w:rsid w:val="008D5446"/>
    <w:rsid w:val="009216B5"/>
    <w:rsid w:val="0094344B"/>
    <w:rsid w:val="00945BFB"/>
    <w:rsid w:val="009460E6"/>
    <w:rsid w:val="009460F9"/>
    <w:rsid w:val="0094746E"/>
    <w:rsid w:val="00961860"/>
    <w:rsid w:val="00966E5A"/>
    <w:rsid w:val="00972D0A"/>
    <w:rsid w:val="009B7F65"/>
    <w:rsid w:val="009E0641"/>
    <w:rsid w:val="009F38CA"/>
    <w:rsid w:val="00A169CA"/>
    <w:rsid w:val="00A4185F"/>
    <w:rsid w:val="00A41EE4"/>
    <w:rsid w:val="00A934B8"/>
    <w:rsid w:val="00AD089F"/>
    <w:rsid w:val="00AF4905"/>
    <w:rsid w:val="00B05FE3"/>
    <w:rsid w:val="00B254D9"/>
    <w:rsid w:val="00B41F95"/>
    <w:rsid w:val="00B614D7"/>
    <w:rsid w:val="00B648BF"/>
    <w:rsid w:val="00B909A8"/>
    <w:rsid w:val="00B93271"/>
    <w:rsid w:val="00B966BD"/>
    <w:rsid w:val="00BB0A82"/>
    <w:rsid w:val="00BC0372"/>
    <w:rsid w:val="00C115DF"/>
    <w:rsid w:val="00C2686F"/>
    <w:rsid w:val="00C70DA5"/>
    <w:rsid w:val="00C80060"/>
    <w:rsid w:val="00C80D88"/>
    <w:rsid w:val="00CA42BD"/>
    <w:rsid w:val="00CA7CEA"/>
    <w:rsid w:val="00CB07B1"/>
    <w:rsid w:val="00CC04C2"/>
    <w:rsid w:val="00CD1B8B"/>
    <w:rsid w:val="00CD54EA"/>
    <w:rsid w:val="00CE24F9"/>
    <w:rsid w:val="00CF5528"/>
    <w:rsid w:val="00CF70F7"/>
    <w:rsid w:val="00CF792E"/>
    <w:rsid w:val="00D06EF6"/>
    <w:rsid w:val="00D134EB"/>
    <w:rsid w:val="00D560B4"/>
    <w:rsid w:val="00D91F2D"/>
    <w:rsid w:val="00DC12AB"/>
    <w:rsid w:val="00E11828"/>
    <w:rsid w:val="00E3678F"/>
    <w:rsid w:val="00E6158A"/>
    <w:rsid w:val="00E64C40"/>
    <w:rsid w:val="00E84CB3"/>
    <w:rsid w:val="00F27E8F"/>
    <w:rsid w:val="00F46485"/>
    <w:rsid w:val="00FC3056"/>
    <w:rsid w:val="00FE017B"/>
    <w:rsid w:val="00FF222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bCs/>
        <w:snapToGrid w:val="0"/>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5528"/>
    <w:pPr>
      <w:spacing w:line="276" w:lineRule="auto"/>
    </w:pPr>
    <w:rPr>
      <w:rFonts w:eastAsia="Calibri"/>
      <w:bCs w:val="0"/>
      <w:snapToGrid/>
    </w:rPr>
  </w:style>
  <w:style w:type="paragraph" w:styleId="Heading3">
    <w:name w:val="heading 3"/>
    <w:basedOn w:val="Normal"/>
    <w:next w:val="Normal"/>
    <w:link w:val="Heading3Char"/>
    <w:semiHidden/>
    <w:unhideWhenUsed/>
    <w:qFormat/>
    <w:rsid w:val="00276300"/>
    <w:pPr>
      <w:keepNext/>
      <w:widowControl w:val="0"/>
      <w:autoSpaceDE w:val="0"/>
      <w:autoSpaceDN w:val="0"/>
      <w:adjustRightInd w:val="0"/>
      <w:spacing w:line="480" w:lineRule="auto"/>
      <w:jc w:val="center"/>
      <w:outlineLvl w:val="2"/>
    </w:pPr>
    <w:rPr>
      <w:rFonts w:eastAsia="Times New Roman"/>
      <w:b/>
      <w:smallCap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F5528"/>
    <w:rPr>
      <w:color w:val="0000FF" w:themeColor="hyperlink"/>
      <w:u w:val="single"/>
    </w:rPr>
  </w:style>
  <w:style w:type="paragraph" w:styleId="ListParagraph">
    <w:name w:val="List Paragraph"/>
    <w:basedOn w:val="Normal"/>
    <w:uiPriority w:val="34"/>
    <w:qFormat/>
    <w:rsid w:val="002104E6"/>
    <w:pPr>
      <w:ind w:left="720"/>
      <w:contextualSpacing/>
    </w:pPr>
  </w:style>
  <w:style w:type="table" w:styleId="TableGrid">
    <w:name w:val="Table Grid"/>
    <w:basedOn w:val="TableNormal"/>
    <w:uiPriority w:val="59"/>
    <w:rsid w:val="00456CC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FootnoteText">
    <w:name w:val="footnote text"/>
    <w:basedOn w:val="Normal"/>
    <w:link w:val="FootnoteTextChar"/>
    <w:unhideWhenUsed/>
    <w:rsid w:val="00AF4905"/>
    <w:pPr>
      <w:spacing w:line="240" w:lineRule="auto"/>
    </w:pPr>
    <w:rPr>
      <w:sz w:val="20"/>
      <w:szCs w:val="20"/>
    </w:rPr>
  </w:style>
  <w:style w:type="character" w:customStyle="1" w:styleId="FootnoteTextChar">
    <w:name w:val="Footnote Text Char"/>
    <w:basedOn w:val="DefaultParagraphFont"/>
    <w:link w:val="FootnoteText"/>
    <w:rsid w:val="00AF4905"/>
    <w:rPr>
      <w:rFonts w:eastAsia="Calibri"/>
      <w:bCs w:val="0"/>
      <w:snapToGrid/>
      <w:sz w:val="20"/>
      <w:szCs w:val="20"/>
    </w:rPr>
  </w:style>
  <w:style w:type="character" w:styleId="FootnoteReference">
    <w:name w:val="footnote reference"/>
    <w:basedOn w:val="DefaultParagraphFont"/>
    <w:uiPriority w:val="99"/>
    <w:semiHidden/>
    <w:unhideWhenUsed/>
    <w:rsid w:val="00AF4905"/>
    <w:rPr>
      <w:vertAlign w:val="superscript"/>
    </w:rPr>
  </w:style>
  <w:style w:type="paragraph" w:styleId="Header">
    <w:name w:val="header"/>
    <w:basedOn w:val="Normal"/>
    <w:link w:val="HeaderChar"/>
    <w:uiPriority w:val="99"/>
    <w:semiHidden/>
    <w:unhideWhenUsed/>
    <w:rsid w:val="00824BD8"/>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824BD8"/>
    <w:rPr>
      <w:rFonts w:eastAsia="Calibri"/>
      <w:bCs w:val="0"/>
      <w:snapToGrid/>
    </w:rPr>
  </w:style>
  <w:style w:type="paragraph" w:styleId="Footer">
    <w:name w:val="footer"/>
    <w:basedOn w:val="Normal"/>
    <w:link w:val="FooterChar"/>
    <w:uiPriority w:val="99"/>
    <w:unhideWhenUsed/>
    <w:rsid w:val="00824BD8"/>
    <w:pPr>
      <w:tabs>
        <w:tab w:val="center" w:pos="4680"/>
        <w:tab w:val="right" w:pos="9360"/>
      </w:tabs>
      <w:spacing w:line="240" w:lineRule="auto"/>
    </w:pPr>
  </w:style>
  <w:style w:type="character" w:customStyle="1" w:styleId="FooterChar">
    <w:name w:val="Footer Char"/>
    <w:basedOn w:val="DefaultParagraphFont"/>
    <w:link w:val="Footer"/>
    <w:uiPriority w:val="99"/>
    <w:rsid w:val="00824BD8"/>
    <w:rPr>
      <w:rFonts w:eastAsia="Calibri"/>
      <w:bCs w:val="0"/>
      <w:snapToGrid/>
    </w:rPr>
  </w:style>
  <w:style w:type="character" w:customStyle="1" w:styleId="Heading3Char">
    <w:name w:val="Heading 3 Char"/>
    <w:basedOn w:val="DefaultParagraphFont"/>
    <w:link w:val="Heading3"/>
    <w:semiHidden/>
    <w:rsid w:val="00276300"/>
    <w:rPr>
      <w:rFonts w:eastAsia="Times New Roman"/>
      <w:b/>
      <w:bCs w:val="0"/>
      <w:smallCaps/>
      <w:snapToGrid/>
      <w:sz w:val="28"/>
    </w:rPr>
  </w:style>
  <w:style w:type="paragraph" w:styleId="BodyTextIndent">
    <w:name w:val="Body Text Indent"/>
    <w:basedOn w:val="Normal"/>
    <w:link w:val="BodyTextIndentChar"/>
    <w:semiHidden/>
    <w:unhideWhenUsed/>
    <w:rsid w:val="00276300"/>
    <w:pPr>
      <w:widowControl w:val="0"/>
      <w:autoSpaceDE w:val="0"/>
      <w:autoSpaceDN w:val="0"/>
      <w:adjustRightInd w:val="0"/>
      <w:spacing w:line="480" w:lineRule="auto"/>
      <w:ind w:firstLine="720"/>
      <w:jc w:val="both"/>
    </w:pPr>
    <w:rPr>
      <w:rFonts w:eastAsia="Times New Roman"/>
      <w:sz w:val="28"/>
    </w:rPr>
  </w:style>
  <w:style w:type="character" w:customStyle="1" w:styleId="BodyTextIndentChar">
    <w:name w:val="Body Text Indent Char"/>
    <w:basedOn w:val="DefaultParagraphFont"/>
    <w:link w:val="BodyTextIndent"/>
    <w:semiHidden/>
    <w:rsid w:val="00276300"/>
    <w:rPr>
      <w:rFonts w:eastAsia="Times New Roman"/>
      <w:bCs w:val="0"/>
      <w:snapToGrid/>
      <w:sz w:val="28"/>
    </w:rPr>
  </w:style>
  <w:style w:type="paragraph" w:styleId="BodyTextIndent2">
    <w:name w:val="Body Text Indent 2"/>
    <w:basedOn w:val="Normal"/>
    <w:link w:val="BodyTextIndent2Char"/>
    <w:semiHidden/>
    <w:unhideWhenUsed/>
    <w:rsid w:val="00276300"/>
    <w:pPr>
      <w:widowControl w:val="0"/>
      <w:autoSpaceDE w:val="0"/>
      <w:autoSpaceDN w:val="0"/>
      <w:adjustRightInd w:val="0"/>
      <w:spacing w:line="240" w:lineRule="auto"/>
      <w:ind w:left="1440" w:hanging="720"/>
      <w:jc w:val="both"/>
    </w:pPr>
    <w:rPr>
      <w:rFonts w:eastAsia="Times New Roman"/>
      <w:b/>
      <w:sz w:val="28"/>
    </w:rPr>
  </w:style>
  <w:style w:type="character" w:customStyle="1" w:styleId="BodyTextIndent2Char">
    <w:name w:val="Body Text Indent 2 Char"/>
    <w:basedOn w:val="DefaultParagraphFont"/>
    <w:link w:val="BodyTextIndent2"/>
    <w:semiHidden/>
    <w:rsid w:val="00276300"/>
    <w:rPr>
      <w:rFonts w:eastAsia="Times New Roman"/>
      <w:b/>
      <w:bCs w:val="0"/>
      <w:snapToGrid/>
      <w:sz w:val="28"/>
    </w:rPr>
  </w:style>
</w:styles>
</file>

<file path=word/webSettings.xml><?xml version="1.0" encoding="utf-8"?>
<w:webSettings xmlns:r="http://schemas.openxmlformats.org/officeDocument/2006/relationships" xmlns:w="http://schemas.openxmlformats.org/wordprocessingml/2006/main">
  <w:divs>
    <w:div w:id="953902323">
      <w:bodyDiv w:val="1"/>
      <w:marLeft w:val="0"/>
      <w:marRight w:val="0"/>
      <w:marTop w:val="0"/>
      <w:marBottom w:val="0"/>
      <w:divBdr>
        <w:top w:val="none" w:sz="0" w:space="0" w:color="auto"/>
        <w:left w:val="none" w:sz="0" w:space="0" w:color="auto"/>
        <w:bottom w:val="none" w:sz="0" w:space="0" w:color="auto"/>
        <w:right w:val="none" w:sz="0" w:space="0" w:color="auto"/>
      </w:divBdr>
    </w:div>
    <w:div w:id="1648779669">
      <w:bodyDiv w:val="1"/>
      <w:marLeft w:val="0"/>
      <w:marRight w:val="0"/>
      <w:marTop w:val="0"/>
      <w:marBottom w:val="0"/>
      <w:divBdr>
        <w:top w:val="none" w:sz="0" w:space="0" w:color="auto"/>
        <w:left w:val="none" w:sz="0" w:space="0" w:color="auto"/>
        <w:bottom w:val="none" w:sz="0" w:space="0" w:color="auto"/>
        <w:right w:val="none" w:sz="0" w:space="0" w:color="auto"/>
      </w:divBdr>
    </w:div>
    <w:div w:id="1770159004">
      <w:bodyDiv w:val="1"/>
      <w:marLeft w:val="0"/>
      <w:marRight w:val="0"/>
      <w:marTop w:val="0"/>
      <w:marBottom w:val="0"/>
      <w:divBdr>
        <w:top w:val="none" w:sz="0" w:space="0" w:color="auto"/>
        <w:left w:val="none" w:sz="0" w:space="0" w:color="auto"/>
        <w:bottom w:val="none" w:sz="0" w:space="0" w:color="auto"/>
        <w:right w:val="none" w:sz="0" w:space="0" w:color="auto"/>
      </w:divBdr>
    </w:div>
    <w:div w:id="2032223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weidner@mattweidnerlaw.com" TargetMode="External"/><Relationship Id="rId4" Type="http://schemas.openxmlformats.org/officeDocument/2006/relationships/settings" Target="settings.xml"/><Relationship Id="rId9" Type="http://schemas.openxmlformats.org/officeDocument/2006/relationships/hyperlink" Target="mailto:mfuino@mattweidnerlaw.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5C80EE-CB3E-4628-921C-F0826AF77E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42</Pages>
  <Words>8030</Words>
  <Characters>45775</Characters>
  <Application>Microsoft Office Word</Application>
  <DocSecurity>0</DocSecurity>
  <Lines>381</Lines>
  <Paragraphs>107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53698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Weidner2</dc:creator>
  <cp:lastModifiedBy>Weidner2</cp:lastModifiedBy>
  <cp:revision>2</cp:revision>
  <dcterms:created xsi:type="dcterms:W3CDTF">2012-10-02T14:34:00Z</dcterms:created>
  <dcterms:modified xsi:type="dcterms:W3CDTF">2012-10-02T14:34:00Z</dcterms:modified>
</cp:coreProperties>
</file>