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71B" w:rsidRPr="0087071B" w:rsidRDefault="0087071B" w:rsidP="0087071B">
      <w:pPr>
        <w:shd w:val="clear" w:color="auto" w:fill="FFFFFF"/>
        <w:spacing w:before="240" w:after="240"/>
        <w:jc w:val="center"/>
        <w:outlineLvl w:val="3"/>
        <w:rPr>
          <w:rFonts w:ascii="Arial" w:eastAsia="Times New Roman" w:hAnsi="Arial" w:cs="Arial"/>
          <w:b/>
          <w:bCs/>
          <w:color w:val="222222"/>
          <w:sz w:val="27"/>
          <w:szCs w:val="27"/>
        </w:rPr>
      </w:pPr>
      <w:r w:rsidRPr="0087071B">
        <w:rPr>
          <w:rFonts w:ascii="Arial" w:eastAsia="Times New Roman" w:hAnsi="Arial" w:cs="Arial"/>
          <w:b/>
          <w:bCs/>
          <w:color w:val="222222"/>
          <w:sz w:val="27"/>
          <w:szCs w:val="27"/>
        </w:rPr>
        <w:t>DANIEL R. SHUSTER et al., Plaintiffs and Appellants</w:t>
      </w:r>
      <w:proofErr w:type="gramStart"/>
      <w:r w:rsidRPr="0087071B">
        <w:rPr>
          <w:rFonts w:ascii="Arial" w:eastAsia="Times New Roman" w:hAnsi="Arial" w:cs="Arial"/>
          <w:b/>
          <w:bCs/>
          <w:color w:val="222222"/>
          <w:sz w:val="27"/>
          <w:szCs w:val="27"/>
        </w:rPr>
        <w:t>,</w:t>
      </w:r>
      <w:proofErr w:type="gramEnd"/>
      <w:r w:rsidRPr="0087071B">
        <w:rPr>
          <w:rFonts w:ascii="Arial" w:eastAsia="Times New Roman" w:hAnsi="Arial" w:cs="Arial"/>
          <w:b/>
          <w:bCs/>
          <w:color w:val="222222"/>
          <w:sz w:val="27"/>
          <w:szCs w:val="27"/>
        </w:rPr>
        <w:br/>
        <w:t>v.</w:t>
      </w:r>
      <w:r w:rsidRPr="0087071B">
        <w:rPr>
          <w:rFonts w:ascii="Arial" w:eastAsia="Times New Roman" w:hAnsi="Arial" w:cs="Arial"/>
          <w:b/>
          <w:bCs/>
          <w:color w:val="222222"/>
          <w:sz w:val="27"/>
          <w:szCs w:val="27"/>
        </w:rPr>
        <w:br/>
        <w:t>BAC HOME LOANS SERVICING, LP, et al., Defendants and Respondents.</w:t>
      </w:r>
    </w:p>
    <w:p w:rsidR="0087071B" w:rsidRPr="0087071B" w:rsidRDefault="0087071B" w:rsidP="0087071B">
      <w:pPr>
        <w:shd w:val="clear" w:color="auto" w:fill="FFFFFF"/>
        <w:jc w:val="center"/>
        <w:rPr>
          <w:rFonts w:ascii="Arial" w:eastAsia="Times New Roman" w:hAnsi="Arial" w:cs="Arial"/>
          <w:color w:val="222222"/>
          <w:sz w:val="23"/>
          <w:szCs w:val="23"/>
        </w:rPr>
      </w:pPr>
      <w:hyperlink r:id="rId5" w:history="1">
        <w:proofErr w:type="gramStart"/>
        <w:r w:rsidRPr="0087071B">
          <w:rPr>
            <w:rFonts w:ascii="Arial" w:eastAsia="Times New Roman" w:hAnsi="Arial" w:cs="Arial"/>
            <w:color w:val="1122CC"/>
            <w:sz w:val="23"/>
            <w:szCs w:val="23"/>
            <w:u w:val="single"/>
          </w:rPr>
          <w:t>2d Civil No.</w:t>
        </w:r>
        <w:proofErr w:type="gramEnd"/>
        <w:r w:rsidRPr="0087071B">
          <w:rPr>
            <w:rFonts w:ascii="Arial" w:eastAsia="Times New Roman" w:hAnsi="Arial" w:cs="Arial"/>
            <w:color w:val="1122CC"/>
            <w:sz w:val="23"/>
            <w:szCs w:val="23"/>
            <w:u w:val="single"/>
          </w:rPr>
          <w:t xml:space="preserve"> B235890.</w:t>
        </w:r>
      </w:hyperlink>
    </w:p>
    <w:p w:rsidR="0087071B" w:rsidRPr="0087071B" w:rsidRDefault="0087071B" w:rsidP="0087071B">
      <w:pPr>
        <w:shd w:val="clear" w:color="auto" w:fill="FFFFFF"/>
        <w:spacing w:before="100" w:beforeAutospacing="1" w:after="100" w:afterAutospacing="1"/>
        <w:jc w:val="center"/>
        <w:rPr>
          <w:rFonts w:ascii="Arial" w:eastAsia="Times New Roman" w:hAnsi="Arial" w:cs="Arial"/>
          <w:color w:val="222222"/>
          <w:sz w:val="23"/>
          <w:szCs w:val="23"/>
        </w:rPr>
      </w:pPr>
      <w:proofErr w:type="gramStart"/>
      <w:r w:rsidRPr="0087071B">
        <w:rPr>
          <w:rFonts w:ascii="Arial" w:eastAsia="Times New Roman" w:hAnsi="Arial" w:cs="Arial"/>
          <w:b/>
          <w:bCs/>
          <w:color w:val="222222"/>
          <w:sz w:val="23"/>
          <w:szCs w:val="23"/>
        </w:rPr>
        <w:t>Court of Appeals of California, Second District, Division Six.</w:t>
      </w:r>
      <w:proofErr w:type="gramEnd"/>
    </w:p>
    <w:p w:rsidR="0087071B" w:rsidRPr="0087071B" w:rsidRDefault="0087071B" w:rsidP="0087071B">
      <w:pPr>
        <w:shd w:val="clear" w:color="auto" w:fill="FFFFFF"/>
        <w:jc w:val="center"/>
        <w:rPr>
          <w:rFonts w:ascii="Arial" w:eastAsia="Times New Roman" w:hAnsi="Arial" w:cs="Arial"/>
          <w:color w:val="222222"/>
          <w:sz w:val="23"/>
          <w:szCs w:val="23"/>
        </w:rPr>
      </w:pPr>
      <w:proofErr w:type="gramStart"/>
      <w:r w:rsidRPr="0087071B">
        <w:rPr>
          <w:rFonts w:ascii="Arial" w:eastAsia="Times New Roman" w:hAnsi="Arial" w:cs="Arial"/>
          <w:color w:val="222222"/>
          <w:sz w:val="23"/>
          <w:szCs w:val="23"/>
        </w:rPr>
        <w:t>Filed November 29, 2012.</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proofErr w:type="gramStart"/>
      <w:r w:rsidRPr="0087071B">
        <w:rPr>
          <w:rFonts w:ascii="Arial" w:eastAsia="Times New Roman" w:hAnsi="Arial" w:cs="Arial"/>
          <w:color w:val="222222"/>
          <w:sz w:val="23"/>
          <w:szCs w:val="23"/>
        </w:rPr>
        <w:t xml:space="preserve">Mark </w:t>
      </w:r>
      <w:proofErr w:type="spellStart"/>
      <w:r w:rsidRPr="0087071B">
        <w:rPr>
          <w:rFonts w:ascii="Arial" w:eastAsia="Times New Roman" w:hAnsi="Arial" w:cs="Arial"/>
          <w:color w:val="222222"/>
          <w:sz w:val="23"/>
          <w:szCs w:val="23"/>
        </w:rPr>
        <w:t>Brifman</w:t>
      </w:r>
      <w:proofErr w:type="spellEnd"/>
      <w:r w:rsidRPr="0087071B">
        <w:rPr>
          <w:rFonts w:ascii="Arial" w:eastAsia="Times New Roman" w:hAnsi="Arial" w:cs="Arial"/>
          <w:color w:val="222222"/>
          <w:sz w:val="23"/>
          <w:szCs w:val="23"/>
        </w:rPr>
        <w:t xml:space="preserve"> for Appellants.</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Bryan Cave, Glenn J. </w:t>
      </w:r>
      <w:proofErr w:type="spellStart"/>
      <w:r w:rsidRPr="0087071B">
        <w:rPr>
          <w:rFonts w:ascii="Arial" w:eastAsia="Times New Roman" w:hAnsi="Arial" w:cs="Arial"/>
          <w:color w:val="222222"/>
          <w:sz w:val="23"/>
          <w:szCs w:val="23"/>
        </w:rPr>
        <w:t>Plattner</w:t>
      </w:r>
      <w:proofErr w:type="spellEnd"/>
      <w:r w:rsidRPr="0087071B">
        <w:rPr>
          <w:rFonts w:ascii="Arial" w:eastAsia="Times New Roman" w:hAnsi="Arial" w:cs="Arial"/>
          <w:color w:val="222222"/>
          <w:sz w:val="23"/>
          <w:szCs w:val="23"/>
        </w:rPr>
        <w:t xml:space="preserve"> and Curt R. </w:t>
      </w:r>
      <w:proofErr w:type="spellStart"/>
      <w:r w:rsidRPr="0087071B">
        <w:rPr>
          <w:rFonts w:ascii="Arial" w:eastAsia="Times New Roman" w:hAnsi="Arial" w:cs="Arial"/>
          <w:color w:val="222222"/>
          <w:sz w:val="23"/>
          <w:szCs w:val="23"/>
        </w:rPr>
        <w:t>Wiele</w:t>
      </w:r>
      <w:proofErr w:type="spellEnd"/>
      <w:r w:rsidRPr="0087071B">
        <w:rPr>
          <w:rFonts w:ascii="Arial" w:eastAsia="Times New Roman" w:hAnsi="Arial" w:cs="Arial"/>
          <w:color w:val="222222"/>
          <w:sz w:val="23"/>
          <w:szCs w:val="23"/>
        </w:rPr>
        <w:t xml:space="preserve"> for Respondents Bank of America, N.A. and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Company, N.A.</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proofErr w:type="gramStart"/>
      <w:r w:rsidRPr="0087071B">
        <w:rPr>
          <w:rFonts w:ascii="Arial" w:eastAsia="Times New Roman" w:hAnsi="Arial" w:cs="Arial"/>
          <w:color w:val="222222"/>
          <w:sz w:val="23"/>
          <w:szCs w:val="23"/>
        </w:rPr>
        <w:t xml:space="preserve">The Ryan Firm, Timothy M. Ryan and Michael W. </w:t>
      </w:r>
      <w:proofErr w:type="spellStart"/>
      <w:r w:rsidRPr="0087071B">
        <w:rPr>
          <w:rFonts w:ascii="Arial" w:eastAsia="Times New Roman" w:hAnsi="Arial" w:cs="Arial"/>
          <w:color w:val="222222"/>
          <w:sz w:val="23"/>
          <w:szCs w:val="23"/>
        </w:rPr>
        <w:t>Stoltzman</w:t>
      </w:r>
      <w:proofErr w:type="spellEnd"/>
      <w:r w:rsidRPr="0087071B">
        <w:rPr>
          <w:rFonts w:ascii="Arial" w:eastAsia="Times New Roman" w:hAnsi="Arial" w:cs="Arial"/>
          <w:color w:val="222222"/>
          <w:sz w:val="23"/>
          <w:szCs w:val="23"/>
        </w:rPr>
        <w:t>, Jr., for Respondent Arch Bay Holdings, LLC — Series 2010B.</w:t>
      </w:r>
      <w:proofErr w:type="gramEnd"/>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color w:val="222222"/>
          <w:sz w:val="36"/>
          <w:szCs w:val="36"/>
        </w:rPr>
        <w:t>CERTIFIED FOR PUBLICATION</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PERREN, J.</w:t>
      </w:r>
      <w:bookmarkStart w:id="0" w:name="_GoBack"/>
      <w:bookmarkEnd w:id="0"/>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Appellants Daniel and Yvette Shuster borrowed $670,000 to purchase a home. The deed of trust securing the loan did not name a trustee. Here we hold that the omission of a trustee does not preclude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of the deed of trust.</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After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fell more than $90,000 behind in payments, the beneficiary of the deed of trust substituted respondent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Company, N.A.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as trustee to initiate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proceedings. The beneficiary also assigned its interest in the deed of trust to respondent BAC Home Loans Servicing, LP (BAC),</w:t>
      </w:r>
      <w:bookmarkStart w:id="1" w:name="r[1]"/>
      <w:r w:rsidRPr="0087071B">
        <w:rPr>
          <w:rFonts w:ascii="Arial" w:eastAsia="Times New Roman" w:hAnsi="Arial" w:cs="Arial"/>
          <w:color w:val="222222"/>
          <w:sz w:val="23"/>
          <w:szCs w:val="23"/>
          <w:vertAlign w:val="superscript"/>
        </w:rPr>
        <w:fldChar w:fldCharType="begin"/>
      </w:r>
      <w:r w:rsidRPr="0087071B">
        <w:rPr>
          <w:rFonts w:ascii="Arial" w:eastAsia="Times New Roman" w:hAnsi="Arial" w:cs="Arial"/>
          <w:color w:val="222222"/>
          <w:sz w:val="23"/>
          <w:szCs w:val="23"/>
          <w:vertAlign w:val="superscript"/>
        </w:rPr>
        <w:instrText xml:space="preserve"> HYPERLINK "http://scholar.google.com/scholar_case?q=Shuster+v.+BAC+Home+Loans+Servicing+LP,+No.+B235890+(Nov.+29,+2012).++&amp;hl=en&amp;as_sdt=2,38&amp;case=5001073207760878126&amp;scilh=0" \l "[1]" </w:instrText>
      </w:r>
      <w:r w:rsidRPr="0087071B">
        <w:rPr>
          <w:rFonts w:ascii="Arial" w:eastAsia="Times New Roman" w:hAnsi="Arial" w:cs="Arial"/>
          <w:color w:val="222222"/>
          <w:sz w:val="23"/>
          <w:szCs w:val="23"/>
          <w:vertAlign w:val="superscript"/>
        </w:rPr>
        <w:fldChar w:fldCharType="separate"/>
      </w:r>
      <w:r w:rsidRPr="0087071B">
        <w:rPr>
          <w:rFonts w:ascii="Arial" w:eastAsia="Times New Roman" w:hAnsi="Arial" w:cs="Arial"/>
          <w:color w:val="1122CC"/>
          <w:sz w:val="23"/>
          <w:szCs w:val="23"/>
          <w:u w:val="single"/>
          <w:vertAlign w:val="superscript"/>
        </w:rPr>
        <w:t>[1]</w:t>
      </w:r>
      <w:r w:rsidRPr="0087071B">
        <w:rPr>
          <w:rFonts w:ascii="Arial" w:eastAsia="Times New Roman" w:hAnsi="Arial" w:cs="Arial"/>
          <w:color w:val="222222"/>
          <w:sz w:val="23"/>
          <w:szCs w:val="23"/>
          <w:vertAlign w:val="superscript"/>
        </w:rPr>
        <w:fldChar w:fldCharType="end"/>
      </w:r>
      <w:bookmarkEnd w:id="1"/>
      <w:r w:rsidRPr="0087071B">
        <w:rPr>
          <w:rFonts w:ascii="Arial" w:eastAsia="Times New Roman" w:hAnsi="Arial" w:cs="Arial"/>
          <w:color w:val="222222"/>
          <w:sz w:val="23"/>
          <w:szCs w:val="23"/>
        </w:rPr>
        <w:t xml:space="preserve"> which later assigned its interest to respondent Arch Bay Holdings, LLC — Series 2010B (Arch Bay). Arch Bay purchased the property at the foreclosure sale.</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sued to set aside the sale, primarily because the deed of trust failed to designate a trustee. Although an issue of first impression in California, the weight of authority from other jurisdictions supports the trial court's conclusion that the omission of a trustee does not prevent enforcement of the deed of trust. Accordingly,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as substituted trustee, had authority to commence foreclosure under Civil Code section 2924, subdivision (a</w:t>
      </w:r>
      <w:proofErr w:type="gramStart"/>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1).</w:t>
      </w:r>
      <w:bookmarkStart w:id="2" w:name="r[2]"/>
      <w:r w:rsidRPr="0087071B">
        <w:rPr>
          <w:rFonts w:ascii="Arial" w:eastAsia="Times New Roman" w:hAnsi="Arial" w:cs="Arial"/>
          <w:color w:val="222222"/>
          <w:sz w:val="23"/>
          <w:szCs w:val="23"/>
          <w:vertAlign w:val="superscript"/>
        </w:rPr>
        <w:fldChar w:fldCharType="begin"/>
      </w:r>
      <w:r w:rsidRPr="0087071B">
        <w:rPr>
          <w:rFonts w:ascii="Arial" w:eastAsia="Times New Roman" w:hAnsi="Arial" w:cs="Arial"/>
          <w:color w:val="222222"/>
          <w:sz w:val="23"/>
          <w:szCs w:val="23"/>
          <w:vertAlign w:val="superscript"/>
        </w:rPr>
        <w:instrText xml:space="preserve"> HYPERLINK "http://scholar.google.com/scholar_case?q=Shuster+v.+BAC+Home+Loans+Servicing+LP,+No.+B235890+(Nov.+29,+2012).++&amp;hl=en&amp;as_sdt=2,38&amp;case=5001073207760878126&amp;scilh=0" \l "[2]" </w:instrText>
      </w:r>
      <w:r w:rsidRPr="0087071B">
        <w:rPr>
          <w:rFonts w:ascii="Arial" w:eastAsia="Times New Roman" w:hAnsi="Arial" w:cs="Arial"/>
          <w:color w:val="222222"/>
          <w:sz w:val="23"/>
          <w:szCs w:val="23"/>
          <w:vertAlign w:val="superscript"/>
        </w:rPr>
        <w:fldChar w:fldCharType="separate"/>
      </w:r>
      <w:r w:rsidRPr="0087071B">
        <w:rPr>
          <w:rFonts w:ascii="Arial" w:eastAsia="Times New Roman" w:hAnsi="Arial" w:cs="Arial"/>
          <w:color w:val="1122CC"/>
          <w:sz w:val="23"/>
          <w:szCs w:val="23"/>
          <w:u w:val="single"/>
          <w:vertAlign w:val="superscript"/>
        </w:rPr>
        <w:t>[2]</w:t>
      </w:r>
      <w:r w:rsidRPr="0087071B">
        <w:rPr>
          <w:rFonts w:ascii="Arial" w:eastAsia="Times New Roman" w:hAnsi="Arial" w:cs="Arial"/>
          <w:color w:val="222222"/>
          <w:sz w:val="23"/>
          <w:szCs w:val="23"/>
          <w:vertAlign w:val="superscript"/>
        </w:rPr>
        <w:fldChar w:fldCharType="end"/>
      </w:r>
      <w:bookmarkEnd w:id="2"/>
      <w:r w:rsidRPr="0087071B">
        <w:rPr>
          <w:rFonts w:ascii="Arial" w:eastAsia="Times New Roman" w:hAnsi="Arial" w:cs="Arial"/>
          <w:color w:val="222222"/>
          <w:sz w:val="23"/>
          <w:szCs w:val="23"/>
        </w:rPr>
        <w:t xml:space="preserve">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claims also fail because they do not allege tender of the amounts due under the loan. We affirm.</w:t>
      </w:r>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color w:val="222222"/>
          <w:sz w:val="36"/>
          <w:szCs w:val="36"/>
        </w:rPr>
        <w:t>PROCEDURAL AND FACTUAL BACKGROUND</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In 2006,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borrowed $670,000 from WMC Mortgage Corp. (WMC) to purchase a residence located at 2610 Bloom Street, Simi Valley, California (Property). WMC recorded a </w:t>
      </w:r>
      <w:r w:rsidRPr="0087071B">
        <w:rPr>
          <w:rFonts w:ascii="Arial" w:eastAsia="Times New Roman" w:hAnsi="Arial" w:cs="Arial"/>
          <w:color w:val="222222"/>
          <w:sz w:val="23"/>
          <w:szCs w:val="23"/>
        </w:rPr>
        <w:lastRenderedPageBreak/>
        <w:t>deed of trust against the Property to secure the debt. The deed of trust did not name a trustee, but designated Mortgage Electronic Registration Systems, Inc. (MERS) as beneficiary, giving MERS "the right to foreclose and sell the Property, and to take any action required of Lender including, but not limited to, releasing and canceling [the trust deed]."</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In 2010,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defaulted. MERS substituted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as trustee, and assigned its beneficial interest in the deed of trust to BAC.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recorded a notice of default, claiming arrearages in excess of $90,000.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failed to cure the default, and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xml:space="preserve"> recorded a notice of trustee's sale. BAC assigned its beneficial interest in the deed of trust to Arch Bay, which acquired the Property at the sale.</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filed a complaint for quiet title, wrongful foreclosure and breach of contract, alleging respondents had no right to foreclose under the deed of trust. They sought cancellation of all recorded documents related to the foreclosure, plus actual and punitive damages. Respondents demurred and requested that the trial court take judicial notice of certain recorded documents related to the foreclosure.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did not object to the request for judicial notice. The trial court granted the request and sustained the demurrers with leave to amend.</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filed a first amended complaint alleging causes of action for cancellation of instruments, wrongful foreclosure and breach of contract. Respondents again demurred and requested that the trial court take judicial notice of the foreclosure documents.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did not object to the request.</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Following supplemental briefing regarding the enforceability of a deed of trust that omits a trustee, the trial court concluded the omission "is no impediment to enforcement of the Trust Deed . . . ." The court sustained BAC and </w:t>
      </w:r>
      <w:proofErr w:type="spellStart"/>
      <w:r w:rsidRPr="0087071B">
        <w:rPr>
          <w:rFonts w:ascii="Arial" w:eastAsia="Times New Roman" w:hAnsi="Arial" w:cs="Arial"/>
          <w:color w:val="222222"/>
          <w:sz w:val="23"/>
          <w:szCs w:val="23"/>
        </w:rPr>
        <w:t>ReconTrust's</w:t>
      </w:r>
      <w:proofErr w:type="spellEnd"/>
      <w:r w:rsidRPr="0087071B">
        <w:rPr>
          <w:rFonts w:ascii="Arial" w:eastAsia="Times New Roman" w:hAnsi="Arial" w:cs="Arial"/>
          <w:color w:val="222222"/>
          <w:sz w:val="23"/>
          <w:szCs w:val="23"/>
        </w:rPr>
        <w:t xml:space="preserve"> demurrer without leave to amend, and entered an order of dismissal on June 7, 2011.</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trial court granted Arch Bay's request for judicial notice and sustained its demurrer with leave to amend. The court determined that Arch Bay had purchased the Property pursuant to a properly noticed trustee's sale and that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had failed to plead a viable ownership interest. The court observed that MERS, as the beneficiary, "had the authority to substitute in the trustee and assign its interest to BAC . . . . It does not matter that MERS never had any ownership interest or obligation under the security instrument; it was the listed beneficiary." The court further noted "there has been no tender or offer of a tender by Plaintiffs."</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filed a second amended complaint, again alleging claims for cancellation of instruments, wrongful foreclosure and breach of contract. Arch Bay demurred and requested that the trial court take judicial notice of the same foreclosure documents.</w:t>
      </w:r>
      <w:bookmarkStart w:id="3" w:name="r[3]"/>
      <w:r w:rsidRPr="0087071B">
        <w:rPr>
          <w:rFonts w:ascii="Arial" w:eastAsia="Times New Roman" w:hAnsi="Arial" w:cs="Arial"/>
          <w:color w:val="222222"/>
          <w:sz w:val="23"/>
          <w:szCs w:val="23"/>
          <w:vertAlign w:val="superscript"/>
        </w:rPr>
        <w:fldChar w:fldCharType="begin"/>
      </w:r>
      <w:r w:rsidRPr="0087071B">
        <w:rPr>
          <w:rFonts w:ascii="Arial" w:eastAsia="Times New Roman" w:hAnsi="Arial" w:cs="Arial"/>
          <w:color w:val="222222"/>
          <w:sz w:val="23"/>
          <w:szCs w:val="23"/>
          <w:vertAlign w:val="superscript"/>
        </w:rPr>
        <w:instrText xml:space="preserve"> HYPERLINK "http://scholar.google.com/scholar_case?q=Shuster+v.+BAC+Home+Loans+Servicing+LP,+No.+B235890+(Nov.+29,+2012).++&amp;hl=en&amp;as_sdt=2,38&amp;case=5001073207760878126&amp;scilh=0" \l "[3]" </w:instrText>
      </w:r>
      <w:r w:rsidRPr="0087071B">
        <w:rPr>
          <w:rFonts w:ascii="Arial" w:eastAsia="Times New Roman" w:hAnsi="Arial" w:cs="Arial"/>
          <w:color w:val="222222"/>
          <w:sz w:val="23"/>
          <w:szCs w:val="23"/>
          <w:vertAlign w:val="superscript"/>
        </w:rPr>
        <w:fldChar w:fldCharType="separate"/>
      </w:r>
      <w:r w:rsidRPr="0087071B">
        <w:rPr>
          <w:rFonts w:ascii="Arial" w:eastAsia="Times New Roman" w:hAnsi="Arial" w:cs="Arial"/>
          <w:color w:val="1122CC"/>
          <w:sz w:val="23"/>
          <w:szCs w:val="23"/>
          <w:u w:val="single"/>
          <w:vertAlign w:val="superscript"/>
        </w:rPr>
        <w:t>[3]</w:t>
      </w:r>
      <w:r w:rsidRPr="0087071B">
        <w:rPr>
          <w:rFonts w:ascii="Arial" w:eastAsia="Times New Roman" w:hAnsi="Arial" w:cs="Arial"/>
          <w:color w:val="222222"/>
          <w:sz w:val="23"/>
          <w:szCs w:val="23"/>
          <w:vertAlign w:val="superscript"/>
        </w:rPr>
        <w:fldChar w:fldCharType="end"/>
      </w:r>
      <w:bookmarkEnd w:id="3"/>
      <w:r w:rsidRPr="0087071B">
        <w:rPr>
          <w:rFonts w:ascii="Arial" w:eastAsia="Times New Roman" w:hAnsi="Arial" w:cs="Arial"/>
          <w:color w:val="222222"/>
          <w:sz w:val="23"/>
          <w:szCs w:val="23"/>
        </w:rPr>
        <w:t xml:space="preserve"> For the first time,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objected to the request for judicial notice. The trial court overruled the objections and sustained the demurrer without leave to amend, remarking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"do not plead additional material facts in their [second amended complaint]; [</w:t>
      </w:r>
      <w:proofErr w:type="spellStart"/>
      <w:r w:rsidRPr="0087071B">
        <w:rPr>
          <w:rFonts w:ascii="Arial" w:eastAsia="Times New Roman" w:hAnsi="Arial" w:cs="Arial"/>
          <w:color w:val="222222"/>
          <w:sz w:val="23"/>
          <w:szCs w:val="23"/>
        </w:rPr>
        <w:t>i</w:t>
      </w:r>
      <w:proofErr w:type="spellEnd"/>
      <w:r w:rsidRPr="0087071B">
        <w:rPr>
          <w:rFonts w:ascii="Arial" w:eastAsia="Times New Roman" w:hAnsi="Arial" w:cs="Arial"/>
          <w:color w:val="222222"/>
          <w:sz w:val="23"/>
          <w:szCs w:val="23"/>
        </w:rPr>
        <w:t>]</w:t>
      </w:r>
      <w:proofErr w:type="spellStart"/>
      <w:r w:rsidRPr="0087071B">
        <w:rPr>
          <w:rFonts w:ascii="Arial" w:eastAsia="Times New Roman" w:hAnsi="Arial" w:cs="Arial"/>
          <w:color w:val="222222"/>
          <w:sz w:val="23"/>
          <w:szCs w:val="23"/>
        </w:rPr>
        <w:t>nstead</w:t>
      </w:r>
      <w:proofErr w:type="spellEnd"/>
      <w:r w:rsidRPr="0087071B">
        <w:rPr>
          <w:rFonts w:ascii="Arial" w:eastAsia="Times New Roman" w:hAnsi="Arial" w:cs="Arial"/>
          <w:color w:val="222222"/>
          <w:sz w:val="23"/>
          <w:szCs w:val="23"/>
        </w:rPr>
        <w:t xml:space="preserve">, they formulate novel arguments based on prior allegations." The trial court entered a judgment of dismissal on August 26, 2011.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appeal.</w:t>
      </w:r>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color w:val="222222"/>
          <w:sz w:val="36"/>
          <w:szCs w:val="36"/>
        </w:rPr>
        <w:t>DISCUSSION</w:t>
      </w:r>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i/>
          <w:iCs/>
          <w:color w:val="222222"/>
          <w:sz w:val="36"/>
          <w:szCs w:val="36"/>
        </w:rPr>
        <w:lastRenderedPageBreak/>
        <w:t>Standard of Review</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We review an order sustaining a demurrer de novo, exercising our independent judgment to determine whether a cause of action has been stated under any legal theory. (</w:t>
      </w:r>
      <w:hyperlink r:id="rId6" w:history="1">
        <w:r w:rsidRPr="0087071B">
          <w:rPr>
            <w:rFonts w:ascii="Arial" w:eastAsia="Times New Roman" w:hAnsi="Arial" w:cs="Arial"/>
            <w:i/>
            <w:iCs/>
            <w:color w:val="1122CC"/>
            <w:sz w:val="23"/>
            <w:szCs w:val="23"/>
            <w:u w:val="single"/>
          </w:rPr>
          <w:t xml:space="preserve">Ochs v. PacifiCare </w:t>
        </w:r>
        <w:proofErr w:type="gramStart"/>
        <w:r w:rsidRPr="0087071B">
          <w:rPr>
            <w:rFonts w:ascii="Arial" w:eastAsia="Times New Roman" w:hAnsi="Arial" w:cs="Arial"/>
            <w:i/>
            <w:iCs/>
            <w:color w:val="1122CC"/>
            <w:sz w:val="23"/>
            <w:szCs w:val="23"/>
            <w:u w:val="single"/>
          </w:rPr>
          <w:t>of California</w:t>
        </w:r>
        <w:r w:rsidRPr="0087071B">
          <w:rPr>
            <w:rFonts w:ascii="Arial" w:eastAsia="Times New Roman" w:hAnsi="Arial" w:cs="Arial"/>
            <w:color w:val="1122CC"/>
            <w:sz w:val="23"/>
            <w:szCs w:val="23"/>
            <w:u w:val="single"/>
          </w:rPr>
          <w:t xml:space="preserve"> (2004) 115 Cal.App.4th 782, 788</w:t>
        </w:r>
        <w:proofErr w:type="gramEnd"/>
      </w:hyperlink>
      <w:r w:rsidRPr="0087071B">
        <w:rPr>
          <w:rFonts w:ascii="Arial" w:eastAsia="Times New Roman" w:hAnsi="Arial" w:cs="Arial"/>
          <w:color w:val="222222"/>
          <w:sz w:val="23"/>
          <w:szCs w:val="23"/>
        </w:rPr>
        <w:t xml:space="preserve">.) We accept as true properly pleaded allegations of fact, but not contentions, deductions or conclusions of fact or law. </w:t>
      </w:r>
      <w:proofErr w:type="gramStart"/>
      <w:r w:rsidRPr="0087071B">
        <w:rPr>
          <w:rFonts w:ascii="Arial" w:eastAsia="Times New Roman" w:hAnsi="Arial" w:cs="Arial"/>
          <w:color w:val="222222"/>
          <w:sz w:val="23"/>
          <w:szCs w:val="23"/>
        </w:rPr>
        <w:t>(</w:t>
      </w:r>
      <w:hyperlink r:id="rId7" w:history="1">
        <w:r w:rsidRPr="0087071B">
          <w:rPr>
            <w:rFonts w:ascii="Arial" w:eastAsia="Times New Roman" w:hAnsi="Arial" w:cs="Arial"/>
            <w:i/>
            <w:iCs/>
            <w:color w:val="1122CC"/>
            <w:sz w:val="23"/>
            <w:szCs w:val="23"/>
            <w:u w:val="single"/>
          </w:rPr>
          <w:t xml:space="preserve">Blank v. </w:t>
        </w:r>
        <w:proofErr w:type="spellStart"/>
        <w:r w:rsidRPr="0087071B">
          <w:rPr>
            <w:rFonts w:ascii="Arial" w:eastAsia="Times New Roman" w:hAnsi="Arial" w:cs="Arial"/>
            <w:i/>
            <w:iCs/>
            <w:color w:val="1122CC"/>
            <w:sz w:val="23"/>
            <w:szCs w:val="23"/>
            <w:u w:val="single"/>
          </w:rPr>
          <w:t>Kirwan</w:t>
        </w:r>
        <w:proofErr w:type="spellEnd"/>
        <w:r w:rsidRPr="0087071B">
          <w:rPr>
            <w:rFonts w:ascii="Arial" w:eastAsia="Times New Roman" w:hAnsi="Arial" w:cs="Arial"/>
            <w:color w:val="1122CC"/>
            <w:sz w:val="23"/>
            <w:szCs w:val="23"/>
            <w:u w:val="single"/>
          </w:rPr>
          <w:t xml:space="preserve"> (1985) 39 Cal.3d 311, 318</w:t>
        </w:r>
      </w:hyperlink>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We also consider matters subject to judicial notice. (</w:t>
      </w:r>
      <w:hyperlink r:id="rId8" w:history="1">
        <w:r w:rsidRPr="0087071B">
          <w:rPr>
            <w:rFonts w:ascii="Arial" w:eastAsia="Times New Roman" w:hAnsi="Arial" w:cs="Arial"/>
            <w:i/>
            <w:iCs/>
            <w:color w:val="1122CC"/>
            <w:sz w:val="23"/>
            <w:szCs w:val="23"/>
            <w:u w:val="single"/>
          </w:rPr>
          <w:t xml:space="preserve">Dunn </w:t>
        </w:r>
        <w:proofErr w:type="gramStart"/>
        <w:r w:rsidRPr="0087071B">
          <w:rPr>
            <w:rFonts w:ascii="Arial" w:eastAsia="Times New Roman" w:hAnsi="Arial" w:cs="Arial"/>
            <w:i/>
            <w:iCs/>
            <w:color w:val="1122CC"/>
            <w:sz w:val="23"/>
            <w:szCs w:val="23"/>
            <w:u w:val="single"/>
          </w:rPr>
          <w:t>v. County of Santa Barbara</w:t>
        </w:r>
        <w:r w:rsidRPr="0087071B">
          <w:rPr>
            <w:rFonts w:ascii="Arial" w:eastAsia="Times New Roman" w:hAnsi="Arial" w:cs="Arial"/>
            <w:color w:val="1122CC"/>
            <w:sz w:val="23"/>
            <w:szCs w:val="23"/>
            <w:u w:val="single"/>
          </w:rPr>
          <w:t xml:space="preserve"> (2006) 135 Cal.App.4th 1281, 1298</w:t>
        </w:r>
        <w:proofErr w:type="gramEnd"/>
      </w:hyperlink>
      <w:r w:rsidRPr="0087071B">
        <w:rPr>
          <w:rFonts w:ascii="Arial" w:eastAsia="Times New Roman" w:hAnsi="Arial" w:cs="Arial"/>
          <w:color w:val="222222"/>
          <w:sz w:val="23"/>
          <w:szCs w:val="23"/>
        </w:rPr>
        <w:t xml:space="preserve">.) "The burden is on [appellant] to demonstrate the manner in which the complaint might be amended, and the appellate court must affirm the </w:t>
      </w:r>
      <w:proofErr w:type="gramStart"/>
      <w:r w:rsidRPr="0087071B">
        <w:rPr>
          <w:rFonts w:ascii="Arial" w:eastAsia="Times New Roman" w:hAnsi="Arial" w:cs="Arial"/>
          <w:color w:val="222222"/>
          <w:sz w:val="23"/>
          <w:szCs w:val="23"/>
        </w:rPr>
        <w:t>judgment if it is correct</w:t>
      </w:r>
      <w:proofErr w:type="gramEnd"/>
      <w:r w:rsidRPr="0087071B">
        <w:rPr>
          <w:rFonts w:ascii="Arial" w:eastAsia="Times New Roman" w:hAnsi="Arial" w:cs="Arial"/>
          <w:color w:val="222222"/>
          <w:sz w:val="23"/>
          <w:szCs w:val="23"/>
        </w:rPr>
        <w:t xml:space="preserve"> on any theory." </w:t>
      </w:r>
      <w:proofErr w:type="gramStart"/>
      <w:r w:rsidRPr="0087071B">
        <w:rPr>
          <w:rFonts w:ascii="Arial" w:eastAsia="Times New Roman" w:hAnsi="Arial" w:cs="Arial"/>
          <w:color w:val="222222"/>
          <w:sz w:val="23"/>
          <w:szCs w:val="23"/>
        </w:rPr>
        <w:t>(</w:t>
      </w:r>
      <w:hyperlink r:id="rId9" w:history="1">
        <w:r w:rsidRPr="0087071B">
          <w:rPr>
            <w:rFonts w:ascii="Arial" w:eastAsia="Times New Roman" w:hAnsi="Arial" w:cs="Arial"/>
            <w:i/>
            <w:iCs/>
            <w:color w:val="1122CC"/>
            <w:sz w:val="23"/>
            <w:szCs w:val="23"/>
            <w:u w:val="single"/>
          </w:rPr>
          <w:t xml:space="preserve">City of Atascadero v. Merrill Lynch, Pierce, </w:t>
        </w:r>
        <w:proofErr w:type="spellStart"/>
        <w:r w:rsidRPr="0087071B">
          <w:rPr>
            <w:rFonts w:ascii="Arial" w:eastAsia="Times New Roman" w:hAnsi="Arial" w:cs="Arial"/>
            <w:i/>
            <w:iCs/>
            <w:color w:val="1122CC"/>
            <w:sz w:val="23"/>
            <w:szCs w:val="23"/>
            <w:u w:val="single"/>
          </w:rPr>
          <w:t>Fenner</w:t>
        </w:r>
        <w:proofErr w:type="spellEnd"/>
        <w:r w:rsidRPr="0087071B">
          <w:rPr>
            <w:rFonts w:ascii="Arial" w:eastAsia="Times New Roman" w:hAnsi="Arial" w:cs="Arial"/>
            <w:i/>
            <w:iCs/>
            <w:color w:val="1122CC"/>
            <w:sz w:val="23"/>
            <w:szCs w:val="23"/>
            <w:u w:val="single"/>
          </w:rPr>
          <w:t xml:space="preserve"> &amp; Smith, Inc.</w:t>
        </w:r>
        <w:r w:rsidRPr="0087071B">
          <w:rPr>
            <w:rFonts w:ascii="Arial" w:eastAsia="Times New Roman" w:hAnsi="Arial" w:cs="Arial"/>
            <w:color w:val="1122CC"/>
            <w:sz w:val="23"/>
            <w:szCs w:val="23"/>
            <w:u w:val="single"/>
          </w:rPr>
          <w:t xml:space="preserve"> (1998) 68 Cal.App.4th 445, 459-460</w:t>
        </w:r>
      </w:hyperlink>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i/>
          <w:iCs/>
          <w:color w:val="222222"/>
          <w:sz w:val="36"/>
          <w:szCs w:val="36"/>
        </w:rPr>
        <w:t>Omission of Trustee in Deed of Trust</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fundamental premise of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allegations is that respondents lacked authority to foreclose under the power of sale given by the deed of trust.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assert the deed of trust's failure to designate a trustee transformed the instrument into a "mortgage." They contend that because a mortgage may be foreclosed only through a judicial foreclosure, the trustee's sale of the Property through a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is invalid and must be set aside. </w:t>
      </w:r>
      <w:proofErr w:type="gramStart"/>
      <w:r w:rsidRPr="0087071B">
        <w:rPr>
          <w:rFonts w:ascii="Arial" w:eastAsia="Times New Roman" w:hAnsi="Arial" w:cs="Arial"/>
          <w:color w:val="222222"/>
          <w:sz w:val="23"/>
          <w:szCs w:val="23"/>
        </w:rPr>
        <w:t xml:space="preserve">(See 4 </w:t>
      </w:r>
      <w:proofErr w:type="spellStart"/>
      <w:r w:rsidRPr="0087071B">
        <w:rPr>
          <w:rFonts w:ascii="Arial" w:eastAsia="Times New Roman" w:hAnsi="Arial" w:cs="Arial"/>
          <w:color w:val="222222"/>
          <w:sz w:val="23"/>
          <w:szCs w:val="23"/>
        </w:rPr>
        <w:t>Witkin</w:t>
      </w:r>
      <w:proofErr w:type="spellEnd"/>
      <w:r w:rsidRPr="0087071B">
        <w:rPr>
          <w:rFonts w:ascii="Arial" w:eastAsia="Times New Roman" w:hAnsi="Arial" w:cs="Arial"/>
          <w:color w:val="222222"/>
          <w:sz w:val="23"/>
          <w:szCs w:val="23"/>
        </w:rPr>
        <w:t>, Summary of Cal. Law (10th ed. 2005) Security Transactions in Real Property, § 5, p. 795 [unless mortgage contains a power of sale, mortgagee's only remedy is judicial foreclosure].)</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As we have noted, although other jurisdictions have rejected this theory, it appears to be an issue of first impression in California. In </w:t>
      </w:r>
      <w:hyperlink r:id="rId10" w:history="1">
        <w:r w:rsidRPr="0087071B">
          <w:rPr>
            <w:rFonts w:ascii="Arial" w:eastAsia="Times New Roman" w:hAnsi="Arial" w:cs="Arial"/>
            <w:i/>
            <w:iCs/>
            <w:color w:val="1122CC"/>
            <w:sz w:val="23"/>
            <w:szCs w:val="23"/>
            <w:u w:val="single"/>
          </w:rPr>
          <w:t>In re Bisbee</w:t>
        </w:r>
        <w:r w:rsidRPr="0087071B">
          <w:rPr>
            <w:rFonts w:ascii="Arial" w:eastAsia="Times New Roman" w:hAnsi="Arial" w:cs="Arial"/>
            <w:color w:val="1122CC"/>
            <w:sz w:val="23"/>
            <w:szCs w:val="23"/>
            <w:u w:val="single"/>
          </w:rPr>
          <w:t xml:space="preserve"> (1988) 157 Ariz. 31 [754 P.2d 1135]</w:t>
        </w:r>
      </w:hyperlink>
      <w:r w:rsidRPr="0087071B">
        <w:rPr>
          <w:rFonts w:ascii="Arial" w:eastAsia="Times New Roman" w:hAnsi="Arial" w:cs="Arial"/>
          <w:color w:val="222222"/>
          <w:sz w:val="23"/>
          <w:szCs w:val="23"/>
        </w:rPr>
        <w:t xml:space="preserve"> (</w:t>
      </w:r>
      <w:r w:rsidRPr="0087071B">
        <w:rPr>
          <w:rFonts w:ascii="Arial" w:eastAsia="Times New Roman" w:hAnsi="Arial" w:cs="Arial"/>
          <w:i/>
          <w:iCs/>
          <w:color w:val="222222"/>
          <w:sz w:val="23"/>
          <w:szCs w:val="23"/>
        </w:rPr>
        <w:t>Bisbee</w:t>
      </w:r>
      <w:r w:rsidRPr="0087071B">
        <w:rPr>
          <w:rFonts w:ascii="Arial" w:eastAsia="Times New Roman" w:hAnsi="Arial" w:cs="Arial"/>
          <w:color w:val="222222"/>
          <w:sz w:val="23"/>
          <w:szCs w:val="23"/>
        </w:rPr>
        <w:t xml:space="preserve">), the appellants maintained that when a deed of trust fails to name a trustee, "there [is] no one to receive a transfer of the property, and, therefore, no lien [is] created." </w:t>
      </w:r>
      <w:proofErr w:type="gramStart"/>
      <w:r w:rsidRPr="0087071B">
        <w:rPr>
          <w:rFonts w:ascii="Arial" w:eastAsia="Times New Roman" w:hAnsi="Arial" w:cs="Arial"/>
          <w:color w:val="222222"/>
          <w:sz w:val="23"/>
          <w:szCs w:val="23"/>
        </w:rPr>
        <w:t>(At p. 1137.)</w:t>
      </w:r>
      <w:proofErr w:type="gramEnd"/>
      <w:r w:rsidRPr="0087071B">
        <w:rPr>
          <w:rFonts w:ascii="Arial" w:eastAsia="Times New Roman" w:hAnsi="Arial" w:cs="Arial"/>
          <w:color w:val="222222"/>
          <w:sz w:val="23"/>
          <w:szCs w:val="23"/>
        </w:rPr>
        <w:t xml:space="preserve"> After reviewing traditional trust laws and the Arizona real property statutes — modeled after California law — the court concluded a valid trust is created notwithstanding the failure to designate a trustee.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Id.</w:t>
      </w:r>
      <w:r w:rsidRPr="0087071B">
        <w:rPr>
          <w:rFonts w:ascii="Arial" w:eastAsia="Times New Roman" w:hAnsi="Arial" w:cs="Arial"/>
          <w:color w:val="222222"/>
          <w:sz w:val="23"/>
          <w:szCs w:val="23"/>
        </w:rPr>
        <w:t xml:space="preserve"> at p. 1138.)</w:t>
      </w:r>
      <w:proofErr w:type="gramEnd"/>
      <w:r w:rsidRPr="0087071B">
        <w:rPr>
          <w:rFonts w:ascii="Arial" w:eastAsia="Times New Roman" w:hAnsi="Arial" w:cs="Arial"/>
          <w:color w:val="222222"/>
          <w:sz w:val="23"/>
          <w:szCs w:val="23"/>
        </w:rPr>
        <w:t xml:space="preserve"> This ruling is consistent with California probate cases stating equity will not allow a trust to fail for lack of a trustee. </w:t>
      </w:r>
      <w:proofErr w:type="gramStart"/>
      <w:r w:rsidRPr="0087071B">
        <w:rPr>
          <w:rFonts w:ascii="Arial" w:eastAsia="Times New Roman" w:hAnsi="Arial" w:cs="Arial"/>
          <w:color w:val="222222"/>
          <w:sz w:val="23"/>
          <w:szCs w:val="23"/>
        </w:rPr>
        <w:t>(</w:t>
      </w:r>
      <w:hyperlink r:id="rId11" w:history="1">
        <w:r w:rsidRPr="0087071B">
          <w:rPr>
            <w:rFonts w:ascii="Arial" w:eastAsia="Times New Roman" w:hAnsi="Arial" w:cs="Arial"/>
            <w:i/>
            <w:iCs/>
            <w:color w:val="1122CC"/>
            <w:sz w:val="23"/>
            <w:szCs w:val="23"/>
            <w:u w:val="single"/>
          </w:rPr>
          <w:t>In re Barter's Estate</w:t>
        </w:r>
        <w:r w:rsidRPr="0087071B">
          <w:rPr>
            <w:rFonts w:ascii="Arial" w:eastAsia="Times New Roman" w:hAnsi="Arial" w:cs="Arial"/>
            <w:color w:val="1122CC"/>
            <w:sz w:val="23"/>
            <w:szCs w:val="23"/>
            <w:u w:val="single"/>
          </w:rPr>
          <w:t xml:space="preserve"> (1947) 30 Cal.2d 549, 556</w:t>
        </w:r>
      </w:hyperlink>
      <w:r w:rsidRPr="0087071B">
        <w:rPr>
          <w:rFonts w:ascii="Arial" w:eastAsia="Times New Roman" w:hAnsi="Arial" w:cs="Arial"/>
          <w:color w:val="222222"/>
          <w:sz w:val="23"/>
          <w:szCs w:val="23"/>
        </w:rPr>
        <w:t xml:space="preserve">; </w:t>
      </w:r>
      <w:hyperlink r:id="rId12" w:history="1">
        <w:r w:rsidRPr="0087071B">
          <w:rPr>
            <w:rFonts w:ascii="Arial" w:eastAsia="Times New Roman" w:hAnsi="Arial" w:cs="Arial"/>
            <w:i/>
            <w:iCs/>
            <w:color w:val="1122CC"/>
            <w:sz w:val="23"/>
            <w:szCs w:val="23"/>
            <w:u w:val="single"/>
          </w:rPr>
          <w:t>Estate of McCray</w:t>
        </w:r>
        <w:r w:rsidRPr="0087071B">
          <w:rPr>
            <w:rFonts w:ascii="Arial" w:eastAsia="Times New Roman" w:hAnsi="Arial" w:cs="Arial"/>
            <w:color w:val="1122CC"/>
            <w:sz w:val="23"/>
            <w:szCs w:val="23"/>
            <w:u w:val="single"/>
          </w:rPr>
          <w:t xml:space="preserve"> (1928) 204 Cal. 399, 403</w:t>
        </w:r>
      </w:hyperlink>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i/>
          <w:iCs/>
          <w:color w:val="222222"/>
          <w:sz w:val="23"/>
          <w:szCs w:val="23"/>
        </w:rPr>
        <w:t>Bisbee</w:t>
      </w:r>
      <w:r w:rsidRPr="0087071B">
        <w:rPr>
          <w:rFonts w:ascii="Arial" w:eastAsia="Times New Roman" w:hAnsi="Arial" w:cs="Arial"/>
          <w:color w:val="222222"/>
          <w:sz w:val="23"/>
          <w:szCs w:val="23"/>
        </w:rPr>
        <w:t xml:space="preserve"> emphasized a trustee under a deed of trust holds "bare legal title — sufficient only to permit him to convey the property at the out of court sale. All other incidents of title remain in the </w:t>
      </w:r>
      <w:proofErr w:type="spellStart"/>
      <w:r w:rsidRPr="0087071B">
        <w:rPr>
          <w:rFonts w:ascii="Arial" w:eastAsia="Times New Roman" w:hAnsi="Arial" w:cs="Arial"/>
          <w:color w:val="222222"/>
          <w:sz w:val="23"/>
          <w:szCs w:val="23"/>
        </w:rPr>
        <w:t>trustor</w:t>
      </w:r>
      <w:proofErr w:type="spellEnd"/>
      <w:r w:rsidRPr="0087071B">
        <w:rPr>
          <w:rFonts w:ascii="Arial" w:eastAsia="Times New Roman" w:hAnsi="Arial" w:cs="Arial"/>
          <w:color w:val="222222"/>
          <w:sz w:val="23"/>
          <w:szCs w:val="23"/>
        </w:rPr>
        <w:t xml:space="preserve">. . . . </w:t>
      </w:r>
      <w:proofErr w:type="gramStart"/>
      <w:r w:rsidRPr="0087071B">
        <w:rPr>
          <w:rFonts w:ascii="Arial" w:eastAsia="Times New Roman" w:hAnsi="Arial" w:cs="Arial"/>
          <w:color w:val="222222"/>
          <w:sz w:val="23"/>
          <w:szCs w:val="23"/>
        </w:rPr>
        <w:t>[Citation.]"</w:t>
      </w:r>
      <w:proofErr w:type="gramEnd"/>
      <w:r w:rsidRPr="0087071B">
        <w:rPr>
          <w:rFonts w:ascii="Arial" w:eastAsia="Times New Roman" w:hAnsi="Arial" w:cs="Arial"/>
          <w:color w:val="222222"/>
          <w:sz w:val="23"/>
          <w:szCs w:val="23"/>
        </w:rPr>
        <w:t xml:space="preserve"> </w:t>
      </w:r>
      <w:proofErr w:type="gramStart"/>
      <w:r w:rsidRPr="0087071B">
        <w:rPr>
          <w:rFonts w:ascii="Arial" w:eastAsia="Times New Roman" w:hAnsi="Arial" w:cs="Arial"/>
          <w:color w:val="222222"/>
          <w:sz w:val="23"/>
          <w:szCs w:val="23"/>
        </w:rPr>
        <w:t>(</w:t>
      </w:r>
      <w:hyperlink r:id="rId13" w:history="1">
        <w:r w:rsidRPr="0087071B">
          <w:rPr>
            <w:rFonts w:ascii="Arial" w:eastAsia="Times New Roman" w:hAnsi="Arial" w:cs="Arial"/>
            <w:i/>
            <w:iCs/>
            <w:color w:val="1122CC"/>
            <w:sz w:val="23"/>
            <w:szCs w:val="23"/>
            <w:u w:val="single"/>
          </w:rPr>
          <w:t>Bisbee, supra,</w:t>
        </w:r>
        <w:r w:rsidRPr="0087071B">
          <w:rPr>
            <w:rFonts w:ascii="Arial" w:eastAsia="Times New Roman" w:hAnsi="Arial" w:cs="Arial"/>
            <w:color w:val="1122CC"/>
            <w:sz w:val="23"/>
            <w:szCs w:val="23"/>
            <w:u w:val="single"/>
          </w:rPr>
          <w:t xml:space="preserve"> 754 P.2d at p. 1138</w:t>
        </w:r>
      </w:hyperlink>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Because the </w:t>
      </w:r>
      <w:proofErr w:type="spellStart"/>
      <w:r w:rsidRPr="0087071B">
        <w:rPr>
          <w:rFonts w:ascii="Arial" w:eastAsia="Times New Roman" w:hAnsi="Arial" w:cs="Arial"/>
          <w:color w:val="222222"/>
          <w:sz w:val="23"/>
          <w:szCs w:val="23"/>
        </w:rPr>
        <w:t>trustor</w:t>
      </w:r>
      <w:proofErr w:type="spellEnd"/>
      <w:r w:rsidRPr="0087071B">
        <w:rPr>
          <w:rFonts w:ascii="Arial" w:eastAsia="Times New Roman" w:hAnsi="Arial" w:cs="Arial"/>
          <w:color w:val="222222"/>
          <w:sz w:val="23"/>
          <w:szCs w:val="23"/>
        </w:rPr>
        <w:t xml:space="preserve"> is free to transfer the property and to enjoy all other incidents of ownership, the court determined a deed of trust is essentially a mortgage with the power to convey upon default.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The court observed "[a] trustee under a deed of trust has neither the legal powers nor the obligations of a trustee under traditional trust law. Instead he serves as a type of common agent for both parties."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As a result, "the mere failure to designate trustees does not render the deeds of trust invalid as between the parties to the trust deed instruments."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In other words, the naming of the trustee is irrelevant to the creation of the deed of trust, so long as a trustee is named prior to the foreclosure. (</w:t>
      </w:r>
      <w:r w:rsidRPr="0087071B">
        <w:rPr>
          <w:rFonts w:ascii="Arial" w:eastAsia="Times New Roman" w:hAnsi="Arial" w:cs="Arial"/>
          <w:i/>
          <w:iCs/>
          <w:color w:val="222222"/>
          <w:sz w:val="23"/>
          <w:szCs w:val="23"/>
        </w:rPr>
        <w:t>Id.</w:t>
      </w:r>
      <w:r w:rsidRPr="0087071B">
        <w:rPr>
          <w:rFonts w:ascii="Arial" w:eastAsia="Times New Roman" w:hAnsi="Arial" w:cs="Arial"/>
          <w:color w:val="222222"/>
          <w:sz w:val="23"/>
          <w:szCs w:val="23"/>
        </w:rPr>
        <w:t xml:space="preserve"> at p. 1137 ["[T]he only effect of the absence of a valid trustee is that no action required to be taken by the trustee may be taken until a successor trustee is appointed"]; </w:t>
      </w:r>
      <w:hyperlink r:id="rId14" w:history="1">
        <w:r w:rsidRPr="0087071B">
          <w:rPr>
            <w:rFonts w:ascii="Arial" w:eastAsia="Times New Roman" w:hAnsi="Arial" w:cs="Arial"/>
            <w:i/>
            <w:iCs/>
            <w:color w:val="1122CC"/>
            <w:sz w:val="23"/>
            <w:szCs w:val="23"/>
            <w:u w:val="single"/>
          </w:rPr>
          <w:t xml:space="preserve">In re </w:t>
        </w:r>
        <w:proofErr w:type="spellStart"/>
        <w:r w:rsidRPr="0087071B">
          <w:rPr>
            <w:rFonts w:ascii="Arial" w:eastAsia="Times New Roman" w:hAnsi="Arial" w:cs="Arial"/>
            <w:i/>
            <w:iCs/>
            <w:color w:val="1122CC"/>
            <w:sz w:val="23"/>
            <w:szCs w:val="23"/>
            <w:u w:val="single"/>
          </w:rPr>
          <w:t>Burche</w:t>
        </w:r>
        <w:proofErr w:type="spellEnd"/>
        <w:r w:rsidRPr="0087071B">
          <w:rPr>
            <w:rFonts w:ascii="Arial" w:eastAsia="Times New Roman" w:hAnsi="Arial" w:cs="Arial"/>
            <w:color w:val="1122CC"/>
            <w:sz w:val="23"/>
            <w:szCs w:val="23"/>
            <w:u w:val="single"/>
          </w:rPr>
          <w:t xml:space="preserve"> (</w:t>
        </w:r>
        <w:proofErr w:type="spellStart"/>
        <w:r w:rsidRPr="0087071B">
          <w:rPr>
            <w:rFonts w:ascii="Arial" w:eastAsia="Times New Roman" w:hAnsi="Arial" w:cs="Arial"/>
            <w:color w:val="1122CC"/>
            <w:sz w:val="23"/>
            <w:szCs w:val="23"/>
            <w:u w:val="single"/>
          </w:rPr>
          <w:t>Bankr</w:t>
        </w:r>
        <w:proofErr w:type="spellEnd"/>
        <w:r w:rsidRPr="0087071B">
          <w:rPr>
            <w:rFonts w:ascii="Arial" w:eastAsia="Times New Roman" w:hAnsi="Arial" w:cs="Arial"/>
            <w:color w:val="1122CC"/>
            <w:sz w:val="23"/>
            <w:szCs w:val="23"/>
            <w:u w:val="single"/>
          </w:rPr>
          <w:t xml:space="preserve">. W.D. </w:t>
        </w:r>
        <w:r w:rsidRPr="0087071B">
          <w:rPr>
            <w:rFonts w:ascii="Arial" w:eastAsia="Times New Roman" w:hAnsi="Arial" w:cs="Arial"/>
            <w:color w:val="1122CC"/>
            <w:sz w:val="23"/>
            <w:szCs w:val="23"/>
            <w:u w:val="single"/>
          </w:rPr>
          <w:lastRenderedPageBreak/>
          <w:t>Mo. 2000) 249 B.R. 518, 524,</w:t>
        </w:r>
      </w:hyperlink>
      <w:r w:rsidRPr="0087071B">
        <w:rPr>
          <w:rFonts w:ascii="Arial" w:eastAsia="Times New Roman" w:hAnsi="Arial" w:cs="Arial"/>
          <w:color w:val="222222"/>
          <w:sz w:val="23"/>
          <w:szCs w:val="23"/>
        </w:rPr>
        <w:t xml:space="preserve"> fn. omitted ["[A deed of trust] is not invalid if it fails to name a trustee, especially if the mortgagee reserves the right to name a successor trustee"]; </w:t>
      </w:r>
      <w:hyperlink r:id="rId15" w:history="1">
        <w:r w:rsidRPr="0087071B">
          <w:rPr>
            <w:rFonts w:ascii="Arial" w:eastAsia="Times New Roman" w:hAnsi="Arial" w:cs="Arial"/>
            <w:i/>
            <w:iCs/>
            <w:color w:val="1122CC"/>
            <w:sz w:val="23"/>
            <w:szCs w:val="23"/>
            <w:u w:val="single"/>
          </w:rPr>
          <w:t>New York Life Ins. Co. v. Kennedy</w:t>
        </w:r>
        <w:r w:rsidRPr="0087071B">
          <w:rPr>
            <w:rFonts w:ascii="Arial" w:eastAsia="Times New Roman" w:hAnsi="Arial" w:cs="Arial"/>
            <w:color w:val="1122CC"/>
            <w:sz w:val="23"/>
            <w:szCs w:val="23"/>
            <w:u w:val="single"/>
          </w:rPr>
          <w:t xml:space="preserve"> (1926) 146 Va. 197, 206 [135 S.E. 882, 885]</w:t>
        </w:r>
      </w:hyperlink>
      <w:r w:rsidRPr="0087071B">
        <w:rPr>
          <w:rFonts w:ascii="Arial" w:eastAsia="Times New Roman" w:hAnsi="Arial" w:cs="Arial"/>
          <w:color w:val="222222"/>
          <w:sz w:val="23"/>
          <w:szCs w:val="23"/>
        </w:rPr>
        <w:t xml:space="preserve"> ["While it is usual for the parties to name the trustee, this is not essential to the validity of the deed of trust"].)</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hyperlink r:id="rId16" w:history="1">
        <w:r w:rsidRPr="0087071B">
          <w:rPr>
            <w:rFonts w:ascii="Arial" w:eastAsia="Times New Roman" w:hAnsi="Arial" w:cs="Arial"/>
            <w:i/>
            <w:iCs/>
            <w:color w:val="1122CC"/>
            <w:sz w:val="23"/>
            <w:szCs w:val="23"/>
            <w:u w:val="single"/>
          </w:rPr>
          <w:t>Mid City Management Corp. v. Loewi Realty Corp.</w:t>
        </w:r>
        <w:r w:rsidRPr="0087071B">
          <w:rPr>
            <w:rFonts w:ascii="Arial" w:eastAsia="Times New Roman" w:hAnsi="Arial" w:cs="Arial"/>
            <w:color w:val="1122CC"/>
            <w:sz w:val="23"/>
            <w:szCs w:val="23"/>
            <w:u w:val="single"/>
          </w:rPr>
          <w:t xml:space="preserve"> (5th Cir. 1981) 643 F.2d 386, 388 (</w:t>
        </w:r>
        <w:r w:rsidRPr="0087071B">
          <w:rPr>
            <w:rFonts w:ascii="Arial" w:eastAsia="Times New Roman" w:hAnsi="Arial" w:cs="Arial"/>
            <w:i/>
            <w:iCs/>
            <w:color w:val="1122CC"/>
            <w:sz w:val="23"/>
            <w:szCs w:val="23"/>
            <w:u w:val="single"/>
          </w:rPr>
          <w:t>Mid City</w:t>
        </w:r>
        <w:r w:rsidRPr="0087071B">
          <w:rPr>
            <w:rFonts w:ascii="Arial" w:eastAsia="Times New Roman" w:hAnsi="Arial" w:cs="Arial"/>
            <w:color w:val="1122CC"/>
            <w:sz w:val="23"/>
            <w:szCs w:val="23"/>
            <w:u w:val="single"/>
          </w:rPr>
          <w:t>)</w:t>
        </w:r>
      </w:hyperlink>
      <w:r w:rsidRPr="0087071B">
        <w:rPr>
          <w:rFonts w:ascii="Arial" w:eastAsia="Times New Roman" w:hAnsi="Arial" w:cs="Arial"/>
          <w:color w:val="222222"/>
          <w:sz w:val="23"/>
          <w:szCs w:val="23"/>
        </w:rPr>
        <w:t xml:space="preserve"> upheld a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sale where, as here, the deed of trust failed to name a trustee. After the borrower defaulted, the beneficiary substituted a trustee who held the foreclosure sale.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The court determined the failure to name an original trustee did not render the deed of trust unenforceable or prevent the subsequent appointment of a substitute trustee to sell the property.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The court perceived the omission "was so palpable a mistake that proceedings for reformation of the [deed of trust] were unnecessary." </w:t>
      </w:r>
      <w:proofErr w:type="gramStart"/>
      <w:r w:rsidRPr="0087071B">
        <w:rPr>
          <w:rFonts w:ascii="Arial" w:eastAsia="Times New Roman" w:hAnsi="Arial" w:cs="Arial"/>
          <w:color w:val="222222"/>
          <w:sz w:val="23"/>
          <w:szCs w:val="23"/>
        </w:rPr>
        <w:t>(</w:t>
      </w:r>
      <w:r w:rsidRPr="0087071B">
        <w:rPr>
          <w:rFonts w:ascii="Arial" w:eastAsia="Times New Roman" w:hAnsi="Arial" w:cs="Arial"/>
          <w:i/>
          <w:iCs/>
          <w:color w:val="222222"/>
          <w:sz w:val="23"/>
          <w:szCs w:val="23"/>
        </w:rPr>
        <w:t>Ibid.</w:t>
      </w:r>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make no attempt to distinguish </w:t>
      </w:r>
      <w:r w:rsidRPr="0087071B">
        <w:rPr>
          <w:rFonts w:ascii="Arial" w:eastAsia="Times New Roman" w:hAnsi="Arial" w:cs="Arial"/>
          <w:i/>
          <w:iCs/>
          <w:color w:val="222222"/>
          <w:sz w:val="23"/>
          <w:szCs w:val="23"/>
        </w:rPr>
        <w:t>Bisbee, Mid City</w:t>
      </w:r>
      <w:r w:rsidRPr="0087071B">
        <w:rPr>
          <w:rFonts w:ascii="Arial" w:eastAsia="Times New Roman" w:hAnsi="Arial" w:cs="Arial"/>
          <w:color w:val="222222"/>
          <w:sz w:val="23"/>
          <w:szCs w:val="23"/>
        </w:rPr>
        <w:t xml:space="preserve"> or the other out-of-state authorities. Nor do they mention the California authorities holding that equity will not allow a trust to fail for lack of a trustee. </w:t>
      </w:r>
      <w:proofErr w:type="gramStart"/>
      <w:r w:rsidRPr="0087071B">
        <w:rPr>
          <w:rFonts w:ascii="Arial" w:eastAsia="Times New Roman" w:hAnsi="Arial" w:cs="Arial"/>
          <w:color w:val="222222"/>
          <w:sz w:val="23"/>
          <w:szCs w:val="23"/>
        </w:rPr>
        <w:t>(</w:t>
      </w:r>
      <w:hyperlink r:id="rId17" w:history="1">
        <w:r w:rsidRPr="0087071B">
          <w:rPr>
            <w:rFonts w:ascii="Arial" w:eastAsia="Times New Roman" w:hAnsi="Arial" w:cs="Arial"/>
            <w:i/>
            <w:iCs/>
            <w:color w:val="1122CC"/>
            <w:sz w:val="23"/>
            <w:szCs w:val="23"/>
            <w:u w:val="single"/>
          </w:rPr>
          <w:t>In re Barter's Estate, supra,</w:t>
        </w:r>
        <w:r w:rsidRPr="0087071B">
          <w:rPr>
            <w:rFonts w:ascii="Arial" w:eastAsia="Times New Roman" w:hAnsi="Arial" w:cs="Arial"/>
            <w:color w:val="1122CC"/>
            <w:sz w:val="23"/>
            <w:szCs w:val="23"/>
            <w:u w:val="single"/>
          </w:rPr>
          <w:t xml:space="preserve"> 30 Cal.2d at p. 556</w:t>
        </w:r>
      </w:hyperlink>
      <w:r w:rsidRPr="0087071B">
        <w:rPr>
          <w:rFonts w:ascii="Arial" w:eastAsia="Times New Roman" w:hAnsi="Arial" w:cs="Arial"/>
          <w:color w:val="222222"/>
          <w:sz w:val="23"/>
          <w:szCs w:val="23"/>
        </w:rPr>
        <w:t xml:space="preserve">; </w:t>
      </w:r>
      <w:hyperlink r:id="rId18" w:history="1">
        <w:r w:rsidRPr="0087071B">
          <w:rPr>
            <w:rFonts w:ascii="Arial" w:eastAsia="Times New Roman" w:hAnsi="Arial" w:cs="Arial"/>
            <w:i/>
            <w:iCs/>
            <w:color w:val="1122CC"/>
            <w:sz w:val="23"/>
            <w:szCs w:val="23"/>
            <w:u w:val="single"/>
          </w:rPr>
          <w:t>Estate of McCray, supra,</w:t>
        </w:r>
        <w:r w:rsidRPr="0087071B">
          <w:rPr>
            <w:rFonts w:ascii="Arial" w:eastAsia="Times New Roman" w:hAnsi="Arial" w:cs="Arial"/>
            <w:color w:val="1122CC"/>
            <w:sz w:val="23"/>
            <w:szCs w:val="23"/>
            <w:u w:val="single"/>
          </w:rPr>
          <w:t xml:space="preserve"> 204 Cal. at p. 403</w:t>
        </w:r>
      </w:hyperlink>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Instead, they analogize to cases establishing that a conveyance with no </w:t>
      </w:r>
      <w:r w:rsidRPr="0087071B">
        <w:rPr>
          <w:rFonts w:ascii="Arial" w:eastAsia="Times New Roman" w:hAnsi="Arial" w:cs="Arial"/>
          <w:i/>
          <w:iCs/>
          <w:color w:val="222222"/>
          <w:sz w:val="23"/>
          <w:szCs w:val="23"/>
        </w:rPr>
        <w:t>grantee</w:t>
      </w:r>
      <w:r w:rsidRPr="0087071B">
        <w:rPr>
          <w:rFonts w:ascii="Arial" w:eastAsia="Times New Roman" w:hAnsi="Arial" w:cs="Arial"/>
          <w:color w:val="222222"/>
          <w:sz w:val="23"/>
          <w:szCs w:val="23"/>
        </w:rPr>
        <w:t xml:space="preserve"> is void. </w:t>
      </w:r>
      <w:proofErr w:type="gramStart"/>
      <w:r w:rsidRPr="0087071B">
        <w:rPr>
          <w:rFonts w:ascii="Arial" w:eastAsia="Times New Roman" w:hAnsi="Arial" w:cs="Arial"/>
          <w:color w:val="222222"/>
          <w:sz w:val="23"/>
          <w:szCs w:val="23"/>
        </w:rPr>
        <w:t xml:space="preserve">(E.g., </w:t>
      </w:r>
      <w:hyperlink r:id="rId19" w:history="1">
        <w:r w:rsidRPr="0087071B">
          <w:rPr>
            <w:rFonts w:ascii="Arial" w:eastAsia="Times New Roman" w:hAnsi="Arial" w:cs="Arial"/>
            <w:i/>
            <w:iCs/>
            <w:color w:val="1122CC"/>
            <w:sz w:val="23"/>
            <w:szCs w:val="23"/>
            <w:u w:val="single"/>
          </w:rPr>
          <w:t xml:space="preserve">Green v. </w:t>
        </w:r>
        <w:proofErr w:type="spellStart"/>
        <w:r w:rsidRPr="0087071B">
          <w:rPr>
            <w:rFonts w:ascii="Arial" w:eastAsia="Times New Roman" w:hAnsi="Arial" w:cs="Arial"/>
            <w:i/>
            <w:iCs/>
            <w:color w:val="1122CC"/>
            <w:sz w:val="23"/>
            <w:szCs w:val="23"/>
            <w:u w:val="single"/>
          </w:rPr>
          <w:t>MacAdam</w:t>
        </w:r>
        <w:proofErr w:type="spellEnd"/>
        <w:r w:rsidRPr="0087071B">
          <w:rPr>
            <w:rFonts w:ascii="Arial" w:eastAsia="Times New Roman" w:hAnsi="Arial" w:cs="Arial"/>
            <w:color w:val="1122CC"/>
            <w:sz w:val="23"/>
            <w:szCs w:val="23"/>
            <w:u w:val="single"/>
          </w:rPr>
          <w:t xml:space="preserve"> (1959) 175 Cal.App.2d 481, 485-486</w:t>
        </w:r>
      </w:hyperlink>
      <w:r w:rsidRPr="0087071B">
        <w:rPr>
          <w:rFonts w:ascii="Arial" w:eastAsia="Times New Roman" w:hAnsi="Arial" w:cs="Arial"/>
          <w:color w:val="222222"/>
          <w:sz w:val="23"/>
          <w:szCs w:val="23"/>
        </w:rPr>
        <w:t xml:space="preserve">; </w:t>
      </w:r>
      <w:hyperlink r:id="rId20" w:history="1">
        <w:r w:rsidRPr="0087071B">
          <w:rPr>
            <w:rFonts w:ascii="Arial" w:eastAsia="Times New Roman" w:hAnsi="Arial" w:cs="Arial"/>
            <w:i/>
            <w:iCs/>
            <w:color w:val="1122CC"/>
            <w:sz w:val="23"/>
            <w:szCs w:val="23"/>
            <w:u w:val="single"/>
          </w:rPr>
          <w:t xml:space="preserve">Overton v. </w:t>
        </w:r>
        <w:proofErr w:type="spellStart"/>
        <w:r w:rsidRPr="0087071B">
          <w:rPr>
            <w:rFonts w:ascii="Arial" w:eastAsia="Times New Roman" w:hAnsi="Arial" w:cs="Arial"/>
            <w:i/>
            <w:iCs/>
            <w:color w:val="1122CC"/>
            <w:sz w:val="23"/>
            <w:szCs w:val="23"/>
            <w:u w:val="single"/>
          </w:rPr>
          <w:t>Harband</w:t>
        </w:r>
        <w:proofErr w:type="spellEnd"/>
        <w:r w:rsidRPr="0087071B">
          <w:rPr>
            <w:rFonts w:ascii="Arial" w:eastAsia="Times New Roman" w:hAnsi="Arial" w:cs="Arial"/>
            <w:color w:val="1122CC"/>
            <w:sz w:val="23"/>
            <w:szCs w:val="23"/>
            <w:u w:val="single"/>
          </w:rPr>
          <w:t xml:space="preserve"> (1935) 6 Cal.App.2d 455, 460</w:t>
        </w:r>
      </w:hyperlink>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analogy fails. A grantee is not the same as a trustee. The character of "title" provided by a grant deed differs substantially from that provided by a deed of trust. A grant deed conveys a fee simple title to the grantee for all purposes. (</w:t>
      </w:r>
      <w:hyperlink r:id="rId21" w:history="1">
        <w:r w:rsidRPr="0087071B">
          <w:rPr>
            <w:rFonts w:ascii="Arial" w:eastAsia="Times New Roman" w:hAnsi="Arial" w:cs="Arial"/>
            <w:i/>
            <w:iCs/>
            <w:color w:val="1122CC"/>
            <w:sz w:val="23"/>
            <w:szCs w:val="23"/>
            <w:u w:val="single"/>
          </w:rPr>
          <w:t>Bank of Italy Etc. Assn. v. Bentley</w:t>
        </w:r>
        <w:r w:rsidRPr="0087071B">
          <w:rPr>
            <w:rFonts w:ascii="Arial" w:eastAsia="Times New Roman" w:hAnsi="Arial" w:cs="Arial"/>
            <w:color w:val="1122CC"/>
            <w:sz w:val="23"/>
            <w:szCs w:val="23"/>
            <w:u w:val="single"/>
          </w:rPr>
          <w:t xml:space="preserve"> (1933) 217 Cal. 644, 656,</w:t>
        </w:r>
      </w:hyperlink>
      <w:r w:rsidRPr="0087071B">
        <w:rPr>
          <w:rFonts w:ascii="Arial" w:eastAsia="Times New Roman" w:hAnsi="Arial" w:cs="Arial"/>
          <w:color w:val="222222"/>
          <w:sz w:val="23"/>
          <w:szCs w:val="23"/>
        </w:rPr>
        <w:t xml:space="preserve"> superseded by statute on other grounds as stated in </w:t>
      </w:r>
      <w:hyperlink r:id="rId22" w:history="1">
        <w:proofErr w:type="spellStart"/>
        <w:r w:rsidRPr="0087071B">
          <w:rPr>
            <w:rFonts w:ascii="Arial" w:eastAsia="Times New Roman" w:hAnsi="Arial" w:cs="Arial"/>
            <w:i/>
            <w:iCs/>
            <w:color w:val="1122CC"/>
            <w:sz w:val="23"/>
            <w:szCs w:val="23"/>
            <w:u w:val="single"/>
          </w:rPr>
          <w:t>Ung</w:t>
        </w:r>
        <w:proofErr w:type="spellEnd"/>
        <w:r w:rsidRPr="0087071B">
          <w:rPr>
            <w:rFonts w:ascii="Arial" w:eastAsia="Times New Roman" w:hAnsi="Arial" w:cs="Arial"/>
            <w:i/>
            <w:iCs/>
            <w:color w:val="1122CC"/>
            <w:sz w:val="23"/>
            <w:szCs w:val="23"/>
            <w:u w:val="single"/>
          </w:rPr>
          <w:t xml:space="preserve"> v. Koehler</w:t>
        </w:r>
        <w:r w:rsidRPr="0087071B">
          <w:rPr>
            <w:rFonts w:ascii="Arial" w:eastAsia="Times New Roman" w:hAnsi="Arial" w:cs="Arial"/>
            <w:color w:val="1122CC"/>
            <w:sz w:val="23"/>
            <w:szCs w:val="23"/>
            <w:u w:val="single"/>
          </w:rPr>
          <w:t xml:space="preserve"> (2005) 135 Cal.App.4th 186, 192-194</w:t>
        </w:r>
      </w:hyperlink>
      <w:r w:rsidRPr="0087071B">
        <w:rPr>
          <w:rFonts w:ascii="Arial" w:eastAsia="Times New Roman" w:hAnsi="Arial" w:cs="Arial"/>
          <w:color w:val="222222"/>
          <w:sz w:val="23"/>
          <w:szCs w:val="23"/>
        </w:rPr>
        <w:t>.) In contrast, a trustee under a deed of trust "carries none of the incidents of ownership of the property, other than the right to convey upon default on the part of the debtor in the payment of his debt." (</w:t>
      </w:r>
      <w:proofErr w:type="gramStart"/>
      <w:r w:rsidRPr="0087071B">
        <w:rPr>
          <w:rFonts w:ascii="Arial" w:eastAsia="Times New Roman" w:hAnsi="Arial" w:cs="Arial"/>
          <w:i/>
          <w:iCs/>
          <w:color w:val="222222"/>
          <w:sz w:val="23"/>
          <w:szCs w:val="23"/>
        </w:rPr>
        <w:t>Ibid.;</w:t>
      </w:r>
      <w:proofErr w:type="gramEnd"/>
      <w:r w:rsidRPr="0087071B">
        <w:rPr>
          <w:rFonts w:ascii="Arial" w:eastAsia="Times New Roman" w:hAnsi="Arial" w:cs="Arial"/>
          <w:i/>
          <w:iCs/>
          <w:color w:val="222222"/>
          <w:sz w:val="23"/>
          <w:szCs w:val="23"/>
        </w:rPr>
        <w:t xml:space="preserve"> </w:t>
      </w:r>
      <w:hyperlink r:id="rId23" w:history="1">
        <w:proofErr w:type="spellStart"/>
        <w:r w:rsidRPr="0087071B">
          <w:rPr>
            <w:rFonts w:ascii="Arial" w:eastAsia="Times New Roman" w:hAnsi="Arial" w:cs="Arial"/>
            <w:i/>
            <w:iCs/>
            <w:color w:val="1122CC"/>
            <w:sz w:val="23"/>
            <w:szCs w:val="23"/>
            <w:u w:val="single"/>
          </w:rPr>
          <w:t>Kachlon</w:t>
        </w:r>
        <w:proofErr w:type="spellEnd"/>
        <w:r w:rsidRPr="0087071B">
          <w:rPr>
            <w:rFonts w:ascii="Arial" w:eastAsia="Times New Roman" w:hAnsi="Arial" w:cs="Arial"/>
            <w:i/>
            <w:iCs/>
            <w:color w:val="1122CC"/>
            <w:sz w:val="23"/>
            <w:szCs w:val="23"/>
            <w:u w:val="single"/>
          </w:rPr>
          <w:t xml:space="preserve"> v. Markowitz</w:t>
        </w:r>
        <w:r w:rsidRPr="0087071B">
          <w:rPr>
            <w:rFonts w:ascii="Arial" w:eastAsia="Times New Roman" w:hAnsi="Arial" w:cs="Arial"/>
            <w:color w:val="1122CC"/>
            <w:sz w:val="23"/>
            <w:szCs w:val="23"/>
            <w:u w:val="single"/>
          </w:rPr>
          <w:t xml:space="preserve"> (2008) 168 Cal.App.4th 316, 335</w:t>
        </w:r>
      </w:hyperlink>
      <w:r w:rsidRPr="0087071B">
        <w:rPr>
          <w:rFonts w:ascii="Arial" w:eastAsia="Times New Roman" w:hAnsi="Arial" w:cs="Arial"/>
          <w:color w:val="222222"/>
          <w:sz w:val="23"/>
          <w:szCs w:val="23"/>
        </w:rPr>
        <w:t xml:space="preserve">.) We agree with the trial court that the omission of the trustee does not preclude enforcement of the deed of trust. It is sufficient that MERS, as beneficiary, appointed a substitute trustee prior to the foreclosure. </w:t>
      </w:r>
      <w:proofErr w:type="gramStart"/>
      <w:r w:rsidRPr="0087071B">
        <w:rPr>
          <w:rFonts w:ascii="Arial" w:eastAsia="Times New Roman" w:hAnsi="Arial" w:cs="Arial"/>
          <w:color w:val="222222"/>
          <w:sz w:val="23"/>
          <w:szCs w:val="23"/>
        </w:rPr>
        <w:t xml:space="preserve">(See </w:t>
      </w:r>
      <w:hyperlink r:id="rId24" w:history="1">
        <w:r w:rsidRPr="0087071B">
          <w:rPr>
            <w:rFonts w:ascii="Arial" w:eastAsia="Times New Roman" w:hAnsi="Arial" w:cs="Arial"/>
            <w:i/>
            <w:iCs/>
            <w:color w:val="1122CC"/>
            <w:sz w:val="23"/>
            <w:szCs w:val="23"/>
            <w:u w:val="single"/>
          </w:rPr>
          <w:t>Bisbee, supra,</w:t>
        </w:r>
        <w:r w:rsidRPr="0087071B">
          <w:rPr>
            <w:rFonts w:ascii="Arial" w:eastAsia="Times New Roman" w:hAnsi="Arial" w:cs="Arial"/>
            <w:color w:val="1122CC"/>
            <w:sz w:val="23"/>
            <w:szCs w:val="23"/>
            <w:u w:val="single"/>
          </w:rPr>
          <w:t xml:space="preserve"> 754 P.2d at p. 1138</w:t>
        </w:r>
      </w:hyperlink>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i/>
          <w:iCs/>
          <w:color w:val="222222"/>
          <w:sz w:val="36"/>
          <w:szCs w:val="36"/>
        </w:rPr>
        <w:t>"Holder in Due Course" Theory</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also contend that respondents had no right to foreclose because they were not the "holder in due course" of the promissory note, and that only WMC, as the original holder of the note, had that right. They are incorrect. California's statutory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scheme (§§ 2924-2924k) does not require that the foreclosing party have a beneficial interest in or physical possession of the note. (</w:t>
      </w:r>
      <w:proofErr w:type="spellStart"/>
      <w:r w:rsidRPr="0087071B">
        <w:rPr>
          <w:rFonts w:ascii="Arial" w:eastAsia="Times New Roman" w:hAnsi="Arial" w:cs="Arial"/>
          <w:color w:val="222222"/>
          <w:sz w:val="23"/>
          <w:szCs w:val="23"/>
        </w:rPr>
        <w:fldChar w:fldCharType="begin"/>
      </w:r>
      <w:r w:rsidRPr="0087071B">
        <w:rPr>
          <w:rFonts w:ascii="Arial" w:eastAsia="Times New Roman" w:hAnsi="Arial" w:cs="Arial"/>
          <w:color w:val="222222"/>
          <w:sz w:val="23"/>
          <w:szCs w:val="23"/>
        </w:rPr>
        <w:instrText xml:space="preserve"> HYPERLINK "http://scholar.google.com/scholar_case?case=16433561947894486314&amp;q=Shuster+v.+BAC+Home+Loans+Servicing+LP,+No.+B235890+(Nov.+29,+2012).++&amp;hl=en&amp;as_sdt=2,38&amp;scilh=0" </w:instrText>
      </w:r>
      <w:r w:rsidRPr="0087071B">
        <w:rPr>
          <w:rFonts w:ascii="Arial" w:eastAsia="Times New Roman" w:hAnsi="Arial" w:cs="Arial"/>
          <w:color w:val="222222"/>
          <w:sz w:val="23"/>
          <w:szCs w:val="23"/>
        </w:rPr>
        <w:fldChar w:fldCharType="separate"/>
      </w:r>
      <w:r w:rsidRPr="0087071B">
        <w:rPr>
          <w:rFonts w:ascii="Arial" w:eastAsia="Times New Roman" w:hAnsi="Arial" w:cs="Arial"/>
          <w:i/>
          <w:iCs/>
          <w:color w:val="1122CC"/>
          <w:sz w:val="23"/>
          <w:szCs w:val="23"/>
          <w:u w:val="single"/>
        </w:rPr>
        <w:t>Debrunner</w:t>
      </w:r>
      <w:proofErr w:type="spellEnd"/>
      <w:r w:rsidRPr="0087071B">
        <w:rPr>
          <w:rFonts w:ascii="Arial" w:eastAsia="Times New Roman" w:hAnsi="Arial" w:cs="Arial"/>
          <w:i/>
          <w:iCs/>
          <w:color w:val="1122CC"/>
          <w:sz w:val="23"/>
          <w:szCs w:val="23"/>
          <w:u w:val="single"/>
        </w:rPr>
        <w:t xml:space="preserve"> v. Deutsche Bank Nat. Trust Co.</w:t>
      </w:r>
      <w:r w:rsidRPr="0087071B">
        <w:rPr>
          <w:rFonts w:ascii="Arial" w:eastAsia="Times New Roman" w:hAnsi="Arial" w:cs="Arial"/>
          <w:color w:val="1122CC"/>
          <w:sz w:val="23"/>
          <w:szCs w:val="23"/>
          <w:u w:val="single"/>
        </w:rPr>
        <w:t xml:space="preserve"> (2012) 204 Cal.App.4th 433, 440-441</w:t>
      </w:r>
      <w:r w:rsidRPr="0087071B">
        <w:rPr>
          <w:rFonts w:ascii="Arial" w:eastAsia="Times New Roman" w:hAnsi="Arial" w:cs="Arial"/>
          <w:color w:val="222222"/>
          <w:sz w:val="23"/>
          <w:szCs w:val="23"/>
        </w:rPr>
        <w:fldChar w:fldCharType="end"/>
      </w:r>
      <w:r w:rsidRPr="0087071B">
        <w:rPr>
          <w:rFonts w:ascii="Arial" w:eastAsia="Times New Roman" w:hAnsi="Arial" w:cs="Arial"/>
          <w:color w:val="222222"/>
          <w:sz w:val="23"/>
          <w:szCs w:val="23"/>
        </w:rPr>
        <w:t xml:space="preserve"> ["We . . . see nothing in the applicable statutes that precludes foreclosure when the foreclosing party does not possess the original promissory note"]; </w:t>
      </w:r>
      <w:hyperlink r:id="rId25" w:history="1">
        <w:r w:rsidRPr="0087071B">
          <w:rPr>
            <w:rFonts w:ascii="Arial" w:eastAsia="Times New Roman" w:hAnsi="Arial" w:cs="Arial"/>
            <w:i/>
            <w:iCs/>
            <w:color w:val="1122CC"/>
            <w:sz w:val="23"/>
            <w:szCs w:val="23"/>
            <w:u w:val="single"/>
          </w:rPr>
          <w:t xml:space="preserve">Lane v. </w:t>
        </w:r>
        <w:proofErr w:type="spellStart"/>
        <w:r w:rsidRPr="0087071B">
          <w:rPr>
            <w:rFonts w:ascii="Arial" w:eastAsia="Times New Roman" w:hAnsi="Arial" w:cs="Arial"/>
            <w:i/>
            <w:iCs/>
            <w:color w:val="1122CC"/>
            <w:sz w:val="23"/>
            <w:szCs w:val="23"/>
            <w:u w:val="single"/>
          </w:rPr>
          <w:t>Vitek</w:t>
        </w:r>
        <w:proofErr w:type="spellEnd"/>
        <w:r w:rsidRPr="0087071B">
          <w:rPr>
            <w:rFonts w:ascii="Arial" w:eastAsia="Times New Roman" w:hAnsi="Arial" w:cs="Arial"/>
            <w:i/>
            <w:iCs/>
            <w:color w:val="1122CC"/>
            <w:sz w:val="23"/>
            <w:szCs w:val="23"/>
            <w:u w:val="single"/>
          </w:rPr>
          <w:t xml:space="preserve"> Real Estate Indus. Group</w:t>
        </w:r>
        <w:r w:rsidRPr="0087071B">
          <w:rPr>
            <w:rFonts w:ascii="Arial" w:eastAsia="Times New Roman" w:hAnsi="Arial" w:cs="Arial"/>
            <w:color w:val="1122CC"/>
            <w:sz w:val="23"/>
            <w:szCs w:val="23"/>
            <w:u w:val="single"/>
          </w:rPr>
          <w:t xml:space="preserve"> (E.D. Cal. 2010) 713 F.Supp.2d 1092, 1099</w:t>
        </w:r>
      </w:hyperlink>
      <w:r w:rsidRPr="0087071B">
        <w:rPr>
          <w:rFonts w:ascii="Arial" w:eastAsia="Times New Roman" w:hAnsi="Arial" w:cs="Arial"/>
          <w:color w:val="222222"/>
          <w:sz w:val="23"/>
          <w:szCs w:val="23"/>
        </w:rPr>
        <w:t xml:space="preserve"> [California "does not require a beneficial interest in both the Note and the Deed of Trust to commence a non-judicial foreclosure sale"].) Section 2924, subdivision (a</w:t>
      </w:r>
      <w:proofErr w:type="gramStart"/>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1) specifically permits the "trustee, mortgagee, or beneficiary, or any of their authorized agents" to institute foreclosure by recording a notice of default. </w:t>
      </w:r>
      <w:proofErr w:type="gramStart"/>
      <w:r w:rsidRPr="0087071B">
        <w:rPr>
          <w:rFonts w:ascii="Arial" w:eastAsia="Times New Roman" w:hAnsi="Arial" w:cs="Arial"/>
          <w:color w:val="222222"/>
          <w:sz w:val="23"/>
          <w:szCs w:val="23"/>
        </w:rPr>
        <w:t xml:space="preserve">(See </w:t>
      </w:r>
      <w:proofErr w:type="spellStart"/>
      <w:r w:rsidRPr="0087071B">
        <w:rPr>
          <w:rFonts w:ascii="Arial" w:eastAsia="Times New Roman" w:hAnsi="Arial" w:cs="Arial"/>
          <w:i/>
          <w:iCs/>
          <w:color w:val="222222"/>
          <w:sz w:val="23"/>
          <w:szCs w:val="23"/>
        </w:rPr>
        <w:t>Debrunner</w:t>
      </w:r>
      <w:proofErr w:type="spellEnd"/>
      <w:r w:rsidRPr="0087071B">
        <w:rPr>
          <w:rFonts w:ascii="Arial" w:eastAsia="Times New Roman" w:hAnsi="Arial" w:cs="Arial"/>
          <w:i/>
          <w:iCs/>
          <w:color w:val="222222"/>
          <w:sz w:val="23"/>
          <w:szCs w:val="23"/>
        </w:rPr>
        <w:t>,</w:t>
      </w:r>
      <w:r w:rsidRPr="0087071B">
        <w:rPr>
          <w:rFonts w:ascii="Arial" w:eastAsia="Times New Roman" w:hAnsi="Arial" w:cs="Arial"/>
          <w:color w:val="222222"/>
          <w:sz w:val="23"/>
          <w:szCs w:val="23"/>
        </w:rPr>
        <w:t xml:space="preserve"> at p. 440; </w:t>
      </w:r>
      <w:r w:rsidRPr="0087071B">
        <w:rPr>
          <w:rFonts w:ascii="Arial" w:eastAsia="Times New Roman" w:hAnsi="Arial" w:cs="Arial"/>
          <w:i/>
          <w:iCs/>
          <w:color w:val="222222"/>
          <w:sz w:val="23"/>
          <w:szCs w:val="23"/>
        </w:rPr>
        <w:lastRenderedPageBreak/>
        <w:t>Lane,</w:t>
      </w:r>
      <w:r w:rsidRPr="0087071B">
        <w:rPr>
          <w:rFonts w:ascii="Arial" w:eastAsia="Times New Roman" w:hAnsi="Arial" w:cs="Arial"/>
          <w:color w:val="222222"/>
          <w:sz w:val="23"/>
          <w:szCs w:val="23"/>
        </w:rPr>
        <w:t xml:space="preserve"> at p. 1098.)</w:t>
      </w:r>
      <w:proofErr w:type="gramEnd"/>
      <w:r w:rsidRPr="0087071B">
        <w:rPr>
          <w:rFonts w:ascii="Arial" w:eastAsia="Times New Roman" w:hAnsi="Arial" w:cs="Arial"/>
          <w:color w:val="222222"/>
          <w:sz w:val="23"/>
          <w:szCs w:val="23"/>
        </w:rPr>
        <w:t xml:space="preserve"> The trial court correctly concluded that </w:t>
      </w:r>
      <w:proofErr w:type="spellStart"/>
      <w:r w:rsidRPr="0087071B">
        <w:rPr>
          <w:rFonts w:ascii="Arial" w:eastAsia="Times New Roman" w:hAnsi="Arial" w:cs="Arial"/>
          <w:color w:val="222222"/>
          <w:sz w:val="23"/>
          <w:szCs w:val="23"/>
        </w:rPr>
        <w:t>ReconTrust</w:t>
      </w:r>
      <w:proofErr w:type="spellEnd"/>
      <w:r w:rsidRPr="0087071B">
        <w:rPr>
          <w:rFonts w:ascii="Arial" w:eastAsia="Times New Roman" w:hAnsi="Arial" w:cs="Arial"/>
          <w:color w:val="222222"/>
          <w:sz w:val="23"/>
          <w:szCs w:val="23"/>
        </w:rPr>
        <w:t>, as trustee, had statutory authority to commence foreclosure.</w:t>
      </w:r>
      <w:bookmarkStart w:id="4" w:name="r[4]"/>
      <w:r w:rsidRPr="0087071B">
        <w:rPr>
          <w:rFonts w:ascii="Arial" w:eastAsia="Times New Roman" w:hAnsi="Arial" w:cs="Arial"/>
          <w:color w:val="222222"/>
          <w:sz w:val="23"/>
          <w:szCs w:val="23"/>
          <w:vertAlign w:val="superscript"/>
        </w:rPr>
        <w:fldChar w:fldCharType="begin"/>
      </w:r>
      <w:r w:rsidRPr="0087071B">
        <w:rPr>
          <w:rFonts w:ascii="Arial" w:eastAsia="Times New Roman" w:hAnsi="Arial" w:cs="Arial"/>
          <w:color w:val="222222"/>
          <w:sz w:val="23"/>
          <w:szCs w:val="23"/>
          <w:vertAlign w:val="superscript"/>
        </w:rPr>
        <w:instrText xml:space="preserve"> HYPERLINK "http://scholar.google.com/scholar_case?q=Shuster+v.+BAC+Home+Loans+Servicing+LP,+No.+B235890+(Nov.+29,+2012).++&amp;hl=en&amp;as_sdt=2,38&amp;case=5001073207760878126&amp;scilh=0" \l "[4]" </w:instrText>
      </w:r>
      <w:r w:rsidRPr="0087071B">
        <w:rPr>
          <w:rFonts w:ascii="Arial" w:eastAsia="Times New Roman" w:hAnsi="Arial" w:cs="Arial"/>
          <w:color w:val="222222"/>
          <w:sz w:val="23"/>
          <w:szCs w:val="23"/>
          <w:vertAlign w:val="superscript"/>
        </w:rPr>
        <w:fldChar w:fldCharType="separate"/>
      </w:r>
      <w:r w:rsidRPr="0087071B">
        <w:rPr>
          <w:rFonts w:ascii="Arial" w:eastAsia="Times New Roman" w:hAnsi="Arial" w:cs="Arial"/>
          <w:color w:val="1122CC"/>
          <w:sz w:val="23"/>
          <w:szCs w:val="23"/>
          <w:u w:val="single"/>
          <w:vertAlign w:val="superscript"/>
        </w:rPr>
        <w:t>[4]</w:t>
      </w:r>
      <w:r w:rsidRPr="0087071B">
        <w:rPr>
          <w:rFonts w:ascii="Arial" w:eastAsia="Times New Roman" w:hAnsi="Arial" w:cs="Arial"/>
          <w:color w:val="222222"/>
          <w:sz w:val="23"/>
          <w:szCs w:val="23"/>
          <w:vertAlign w:val="superscript"/>
        </w:rPr>
        <w:fldChar w:fldCharType="end"/>
      </w:r>
      <w:bookmarkEnd w:id="4"/>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i/>
          <w:iCs/>
          <w:color w:val="222222"/>
          <w:sz w:val="36"/>
          <w:szCs w:val="36"/>
        </w:rPr>
        <w:t xml:space="preserve">Failure to Allege Tender of Amounts </w:t>
      </w:r>
      <w:proofErr w:type="gramStart"/>
      <w:r w:rsidRPr="0087071B">
        <w:rPr>
          <w:rFonts w:ascii="Arial" w:eastAsia="Times New Roman" w:hAnsi="Arial" w:cs="Arial"/>
          <w:b/>
          <w:bCs/>
          <w:i/>
          <w:iCs/>
          <w:color w:val="222222"/>
          <w:sz w:val="36"/>
          <w:szCs w:val="36"/>
        </w:rPr>
        <w:t>Due</w:t>
      </w:r>
      <w:proofErr w:type="gramEnd"/>
      <w:r w:rsidRPr="0087071B">
        <w:rPr>
          <w:rFonts w:ascii="Arial" w:eastAsia="Times New Roman" w:hAnsi="Arial" w:cs="Arial"/>
          <w:b/>
          <w:bCs/>
          <w:i/>
          <w:iCs/>
          <w:color w:val="222222"/>
          <w:sz w:val="36"/>
          <w:szCs w:val="36"/>
        </w:rPr>
        <w:t xml:space="preserve"> Under Loan</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Respondents assert that regardless of the trial </w:t>
      </w:r>
      <w:proofErr w:type="gramStart"/>
      <w:r w:rsidRPr="0087071B">
        <w:rPr>
          <w:rFonts w:ascii="Arial" w:eastAsia="Times New Roman" w:hAnsi="Arial" w:cs="Arial"/>
          <w:color w:val="222222"/>
          <w:sz w:val="23"/>
          <w:szCs w:val="23"/>
        </w:rPr>
        <w:t>court's</w:t>
      </w:r>
      <w:proofErr w:type="gramEnd"/>
      <w:r w:rsidRPr="0087071B">
        <w:rPr>
          <w:rFonts w:ascii="Arial" w:eastAsia="Times New Roman" w:hAnsi="Arial" w:cs="Arial"/>
          <w:color w:val="222222"/>
          <w:sz w:val="23"/>
          <w:szCs w:val="23"/>
        </w:rPr>
        <w:t xml:space="preserve"> other rulings,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claims fail because they do not allege tender of the amounts due and owing under the loan. We agree. Each of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causes of action alleges irregularities in the foreclosure process which they claim invalidate the sale. As a general rule, a debtor cannot set aside the foreclosure based on irregularities in the sale without also alleging tender of the amount of the secured debt. (</w:t>
      </w:r>
      <w:proofErr w:type="spellStart"/>
      <w:r w:rsidRPr="0087071B">
        <w:rPr>
          <w:rFonts w:ascii="Arial" w:eastAsia="Times New Roman" w:hAnsi="Arial" w:cs="Arial"/>
          <w:color w:val="222222"/>
          <w:sz w:val="23"/>
          <w:szCs w:val="23"/>
        </w:rPr>
        <w:fldChar w:fldCharType="begin"/>
      </w:r>
      <w:r w:rsidRPr="0087071B">
        <w:rPr>
          <w:rFonts w:ascii="Arial" w:eastAsia="Times New Roman" w:hAnsi="Arial" w:cs="Arial"/>
          <w:color w:val="222222"/>
          <w:sz w:val="23"/>
          <w:szCs w:val="23"/>
        </w:rPr>
        <w:instrText xml:space="preserve"> HYPERLINK "http://scholar.google.com/scholar_case?case=3144926706970787608&amp;q=Shuster+v.+BAC+Home+Loans+Servicing+LP,+No.+B235890+(Nov.+29,+2012).++&amp;hl=en&amp;as_sdt=2,38&amp;scilh=0" </w:instrText>
      </w:r>
      <w:r w:rsidRPr="0087071B">
        <w:rPr>
          <w:rFonts w:ascii="Arial" w:eastAsia="Times New Roman" w:hAnsi="Arial" w:cs="Arial"/>
          <w:color w:val="222222"/>
          <w:sz w:val="23"/>
          <w:szCs w:val="23"/>
        </w:rPr>
        <w:fldChar w:fldCharType="separate"/>
      </w:r>
      <w:r w:rsidRPr="0087071B">
        <w:rPr>
          <w:rFonts w:ascii="Arial" w:eastAsia="Times New Roman" w:hAnsi="Arial" w:cs="Arial"/>
          <w:i/>
          <w:iCs/>
          <w:color w:val="1122CC"/>
          <w:sz w:val="23"/>
          <w:szCs w:val="23"/>
          <w:u w:val="single"/>
        </w:rPr>
        <w:t>Karlsen</w:t>
      </w:r>
      <w:proofErr w:type="spellEnd"/>
      <w:r w:rsidRPr="0087071B">
        <w:rPr>
          <w:rFonts w:ascii="Arial" w:eastAsia="Times New Roman" w:hAnsi="Arial" w:cs="Arial"/>
          <w:i/>
          <w:iCs/>
          <w:color w:val="1122CC"/>
          <w:sz w:val="23"/>
          <w:szCs w:val="23"/>
          <w:u w:val="single"/>
        </w:rPr>
        <w:t xml:space="preserve"> v. American </w:t>
      </w:r>
      <w:proofErr w:type="spellStart"/>
      <w:r w:rsidRPr="0087071B">
        <w:rPr>
          <w:rFonts w:ascii="Arial" w:eastAsia="Times New Roman" w:hAnsi="Arial" w:cs="Arial"/>
          <w:i/>
          <w:iCs/>
          <w:color w:val="1122CC"/>
          <w:sz w:val="23"/>
          <w:szCs w:val="23"/>
          <w:u w:val="single"/>
        </w:rPr>
        <w:t>Sav</w:t>
      </w:r>
      <w:proofErr w:type="spellEnd"/>
      <w:r w:rsidRPr="0087071B">
        <w:rPr>
          <w:rFonts w:ascii="Arial" w:eastAsia="Times New Roman" w:hAnsi="Arial" w:cs="Arial"/>
          <w:i/>
          <w:iCs/>
          <w:color w:val="1122CC"/>
          <w:sz w:val="23"/>
          <w:szCs w:val="23"/>
          <w:u w:val="single"/>
        </w:rPr>
        <w:t>. &amp; Loan Assn.</w:t>
      </w:r>
      <w:r w:rsidRPr="0087071B">
        <w:rPr>
          <w:rFonts w:ascii="Arial" w:eastAsia="Times New Roman" w:hAnsi="Arial" w:cs="Arial"/>
          <w:color w:val="1122CC"/>
          <w:sz w:val="23"/>
          <w:szCs w:val="23"/>
          <w:u w:val="single"/>
        </w:rPr>
        <w:t xml:space="preserve"> (1971) 15 Cal.App.3d 112, 117</w:t>
      </w:r>
      <w:r w:rsidRPr="0087071B">
        <w:rPr>
          <w:rFonts w:ascii="Arial" w:eastAsia="Times New Roman" w:hAnsi="Arial" w:cs="Arial"/>
          <w:color w:val="222222"/>
          <w:sz w:val="23"/>
          <w:szCs w:val="23"/>
        </w:rPr>
        <w:fldChar w:fldCharType="end"/>
      </w:r>
      <w:r w:rsidRPr="0087071B">
        <w:rPr>
          <w:rFonts w:ascii="Arial" w:eastAsia="Times New Roman" w:hAnsi="Arial" w:cs="Arial"/>
          <w:color w:val="222222"/>
          <w:sz w:val="23"/>
          <w:szCs w:val="23"/>
        </w:rPr>
        <w:t xml:space="preserve"> ["A valid and viable tender of payment of the indebtedness owing is essential to an action to cancel a voidable sale under a deed of trust"]; see </w:t>
      </w:r>
      <w:hyperlink r:id="rId26" w:history="1">
        <w:proofErr w:type="spellStart"/>
        <w:r w:rsidRPr="0087071B">
          <w:rPr>
            <w:rFonts w:ascii="Arial" w:eastAsia="Times New Roman" w:hAnsi="Arial" w:cs="Arial"/>
            <w:i/>
            <w:iCs/>
            <w:color w:val="1122CC"/>
            <w:sz w:val="23"/>
            <w:szCs w:val="23"/>
            <w:u w:val="single"/>
          </w:rPr>
          <w:t>Abdallah</w:t>
        </w:r>
        <w:proofErr w:type="spellEnd"/>
        <w:r w:rsidRPr="0087071B">
          <w:rPr>
            <w:rFonts w:ascii="Arial" w:eastAsia="Times New Roman" w:hAnsi="Arial" w:cs="Arial"/>
            <w:i/>
            <w:iCs/>
            <w:color w:val="1122CC"/>
            <w:sz w:val="23"/>
            <w:szCs w:val="23"/>
            <w:u w:val="single"/>
          </w:rPr>
          <w:t xml:space="preserve"> v. United Savings Bank</w:t>
        </w:r>
        <w:r w:rsidRPr="0087071B">
          <w:rPr>
            <w:rFonts w:ascii="Arial" w:eastAsia="Times New Roman" w:hAnsi="Arial" w:cs="Arial"/>
            <w:color w:val="1122CC"/>
            <w:sz w:val="23"/>
            <w:szCs w:val="23"/>
            <w:u w:val="single"/>
          </w:rPr>
          <w:t xml:space="preserve"> (1996) 43 Cal.App.4th 1101, 1109</w:t>
        </w:r>
      </w:hyperlink>
      <w:r w:rsidRPr="0087071B">
        <w:rPr>
          <w:rFonts w:ascii="Arial" w:eastAsia="Times New Roman" w:hAnsi="Arial" w:cs="Arial"/>
          <w:color w:val="222222"/>
          <w:sz w:val="23"/>
          <w:szCs w:val="23"/>
        </w:rPr>
        <w:t xml:space="preserve"> [sustaining demurrer for lack of tender of amounts due and owing under the loan].) "The rationale behind the rule is that if [the borrower] could not have redeemed the property had the sale procedures been proper, any irregularities in the sale did not result in damages to the [borrower]." </w:t>
      </w:r>
      <w:proofErr w:type="gramStart"/>
      <w:r w:rsidRPr="0087071B">
        <w:rPr>
          <w:rFonts w:ascii="Arial" w:eastAsia="Times New Roman" w:hAnsi="Arial" w:cs="Arial"/>
          <w:color w:val="222222"/>
          <w:sz w:val="23"/>
          <w:szCs w:val="23"/>
        </w:rPr>
        <w:t>(</w:t>
      </w:r>
      <w:hyperlink r:id="rId27" w:history="1">
        <w:r w:rsidRPr="0087071B">
          <w:rPr>
            <w:rFonts w:ascii="Arial" w:eastAsia="Times New Roman" w:hAnsi="Arial" w:cs="Arial"/>
            <w:i/>
            <w:iCs/>
            <w:color w:val="1122CC"/>
            <w:sz w:val="23"/>
            <w:szCs w:val="23"/>
            <w:u w:val="single"/>
          </w:rPr>
          <w:t>FPCI RE-HAB 01 v. E &amp; G Investments, Ltd.</w:t>
        </w:r>
        <w:r w:rsidRPr="0087071B">
          <w:rPr>
            <w:rFonts w:ascii="Arial" w:eastAsia="Times New Roman" w:hAnsi="Arial" w:cs="Arial"/>
            <w:color w:val="1122CC"/>
            <w:sz w:val="23"/>
            <w:szCs w:val="23"/>
            <w:u w:val="single"/>
          </w:rPr>
          <w:t xml:space="preserve"> (1989) 207 Cal.App.3d 1018, 1022</w:t>
        </w:r>
      </w:hyperlink>
      <w:r w:rsidRPr="0087071B">
        <w:rPr>
          <w:rFonts w:ascii="Arial" w:eastAsia="Times New Roman" w:hAnsi="Arial" w:cs="Arial"/>
          <w:color w:val="222222"/>
          <w:sz w:val="23"/>
          <w:szCs w:val="23"/>
        </w:rPr>
        <w:t xml:space="preserve">; </w:t>
      </w:r>
      <w:hyperlink r:id="rId28" w:history="1">
        <w:proofErr w:type="spellStart"/>
        <w:r w:rsidRPr="0087071B">
          <w:rPr>
            <w:rFonts w:ascii="Arial" w:eastAsia="Times New Roman" w:hAnsi="Arial" w:cs="Arial"/>
            <w:i/>
            <w:iCs/>
            <w:color w:val="1122CC"/>
            <w:sz w:val="23"/>
            <w:szCs w:val="23"/>
            <w:u w:val="single"/>
          </w:rPr>
          <w:t>Lona</w:t>
        </w:r>
        <w:proofErr w:type="spellEnd"/>
        <w:r w:rsidRPr="0087071B">
          <w:rPr>
            <w:rFonts w:ascii="Arial" w:eastAsia="Times New Roman" w:hAnsi="Arial" w:cs="Arial"/>
            <w:i/>
            <w:iCs/>
            <w:color w:val="1122CC"/>
            <w:sz w:val="23"/>
            <w:szCs w:val="23"/>
            <w:u w:val="single"/>
          </w:rPr>
          <w:t xml:space="preserve"> v. Citibank, N.A.</w:t>
        </w:r>
        <w:r w:rsidRPr="0087071B">
          <w:rPr>
            <w:rFonts w:ascii="Arial" w:eastAsia="Times New Roman" w:hAnsi="Arial" w:cs="Arial"/>
            <w:color w:val="1122CC"/>
            <w:sz w:val="23"/>
            <w:szCs w:val="23"/>
            <w:u w:val="single"/>
          </w:rPr>
          <w:t xml:space="preserve"> (2011) 202 Cal.App.4th 89, 112</w:t>
        </w:r>
      </w:hyperlink>
      <w:r w:rsidRPr="0087071B">
        <w:rPr>
          <w:rFonts w:ascii="Arial" w:eastAsia="Times New Roman" w:hAnsi="Arial" w:cs="Arial"/>
          <w:color w:val="222222"/>
          <w:sz w:val="23"/>
          <w:szCs w:val="23"/>
        </w:rPr>
        <w:t>.)</w:t>
      </w:r>
      <w:proofErr w:type="gramEnd"/>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Courts recognize certain exceptions to the tender rule, such as when the borrower challenges the validity of the underlying debt, asserts a counterclaim or set-off against the beneficiary or demonstrates the deed of trust is void on its face. </w:t>
      </w:r>
      <w:proofErr w:type="gramStart"/>
      <w:r w:rsidRPr="0087071B">
        <w:rPr>
          <w:rFonts w:ascii="Arial" w:eastAsia="Times New Roman" w:hAnsi="Arial" w:cs="Arial"/>
          <w:color w:val="222222"/>
          <w:sz w:val="23"/>
          <w:szCs w:val="23"/>
        </w:rPr>
        <w:t xml:space="preserve">(See </w:t>
      </w:r>
      <w:hyperlink r:id="rId29" w:history="1">
        <w:proofErr w:type="spellStart"/>
        <w:r w:rsidRPr="0087071B">
          <w:rPr>
            <w:rFonts w:ascii="Arial" w:eastAsia="Times New Roman" w:hAnsi="Arial" w:cs="Arial"/>
            <w:i/>
            <w:iCs/>
            <w:color w:val="1122CC"/>
            <w:sz w:val="23"/>
            <w:szCs w:val="23"/>
            <w:u w:val="single"/>
          </w:rPr>
          <w:t>Lona</w:t>
        </w:r>
        <w:proofErr w:type="spellEnd"/>
        <w:r w:rsidRPr="0087071B">
          <w:rPr>
            <w:rFonts w:ascii="Arial" w:eastAsia="Times New Roman" w:hAnsi="Arial" w:cs="Arial"/>
            <w:i/>
            <w:iCs/>
            <w:color w:val="1122CC"/>
            <w:sz w:val="23"/>
            <w:szCs w:val="23"/>
            <w:u w:val="single"/>
          </w:rPr>
          <w:t xml:space="preserve"> v. Citibank, N.A., supra,</w:t>
        </w:r>
        <w:r w:rsidRPr="0087071B">
          <w:rPr>
            <w:rFonts w:ascii="Arial" w:eastAsia="Times New Roman" w:hAnsi="Arial" w:cs="Arial"/>
            <w:color w:val="1122CC"/>
            <w:sz w:val="23"/>
            <w:szCs w:val="23"/>
            <w:u w:val="single"/>
          </w:rPr>
          <w:t xml:space="preserve"> 202 Cal.App.4th at pp. 112-114</w:t>
        </w:r>
      </w:hyperlink>
      <w:r w:rsidRPr="0087071B">
        <w:rPr>
          <w:rFonts w:ascii="Arial" w:eastAsia="Times New Roman" w:hAnsi="Arial" w:cs="Arial"/>
          <w:color w:val="222222"/>
          <w:sz w:val="23"/>
          <w:szCs w:val="23"/>
        </w:rPr>
        <w:t>.)</w:t>
      </w:r>
      <w:proofErr w:type="gramEnd"/>
      <w:r w:rsidRPr="0087071B">
        <w:rPr>
          <w:rFonts w:ascii="Arial" w:eastAsia="Times New Roman" w:hAnsi="Arial" w:cs="Arial"/>
          <w:color w:val="222222"/>
          <w:sz w:val="23"/>
          <w:szCs w:val="23"/>
        </w:rPr>
        <w:t xml:space="preserve"> The second amended complaint does not allege facts implicating these exceptions. At oral argument,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counsel highlighted </w:t>
      </w:r>
      <w:proofErr w:type="gramStart"/>
      <w:r w:rsidRPr="0087071B">
        <w:rPr>
          <w:rFonts w:ascii="Arial" w:eastAsia="Times New Roman" w:hAnsi="Arial" w:cs="Arial"/>
          <w:color w:val="222222"/>
          <w:sz w:val="23"/>
          <w:szCs w:val="23"/>
        </w:rPr>
        <w:t>that respondents</w:t>
      </w:r>
      <w:proofErr w:type="gramEnd"/>
      <w:r w:rsidRPr="0087071B">
        <w:rPr>
          <w:rFonts w:ascii="Arial" w:eastAsia="Times New Roman" w:hAnsi="Arial" w:cs="Arial"/>
          <w:color w:val="222222"/>
          <w:sz w:val="23"/>
          <w:szCs w:val="23"/>
        </w:rPr>
        <w:t xml:space="preserve"> initially provided the trial court with a copy of the original promissory note signed by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and then, six months later, provided a copy of the endorsed note. Citing this delay,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speculate "there is something not quite right going on," perhaps even forgery, but are unable to articulate any facts supporting this theory or demonstrating prejudice.</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 xml:space="preserve">In 2010,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owed more than $90,000 in back payments. Two years later, they continue to occupy the Property "rent free," claiming they are entitled to possession because respondents did not judicially foreclose. They do not allege facts showing that a judicial foreclosure would be anything other than a futile act or delay tactic. (See </w:t>
      </w:r>
      <w:hyperlink r:id="rId30" w:history="1">
        <w:proofErr w:type="spellStart"/>
        <w:r w:rsidRPr="0087071B">
          <w:rPr>
            <w:rFonts w:ascii="Arial" w:eastAsia="Times New Roman" w:hAnsi="Arial" w:cs="Arial"/>
            <w:i/>
            <w:iCs/>
            <w:color w:val="1122CC"/>
            <w:sz w:val="23"/>
            <w:szCs w:val="23"/>
            <w:u w:val="single"/>
          </w:rPr>
          <w:t>Lona</w:t>
        </w:r>
        <w:proofErr w:type="spellEnd"/>
        <w:r w:rsidRPr="0087071B">
          <w:rPr>
            <w:rFonts w:ascii="Arial" w:eastAsia="Times New Roman" w:hAnsi="Arial" w:cs="Arial"/>
            <w:i/>
            <w:iCs/>
            <w:color w:val="1122CC"/>
            <w:sz w:val="23"/>
            <w:szCs w:val="23"/>
            <w:u w:val="single"/>
          </w:rPr>
          <w:t xml:space="preserve"> v. Citibank, N.A., supra,</w:t>
        </w:r>
        <w:r w:rsidRPr="0087071B">
          <w:rPr>
            <w:rFonts w:ascii="Arial" w:eastAsia="Times New Roman" w:hAnsi="Arial" w:cs="Arial"/>
            <w:color w:val="1122CC"/>
            <w:sz w:val="23"/>
            <w:szCs w:val="23"/>
            <w:u w:val="single"/>
          </w:rPr>
          <w:t xml:space="preserve"> 202 Cal.App.4th at p. 112</w:t>
        </w:r>
      </w:hyperlink>
      <w:r w:rsidRPr="0087071B">
        <w:rPr>
          <w:rFonts w:ascii="Arial" w:eastAsia="Times New Roman" w:hAnsi="Arial" w:cs="Arial"/>
          <w:color w:val="222222"/>
          <w:sz w:val="23"/>
          <w:szCs w:val="23"/>
        </w:rPr>
        <w:t xml:space="preserve">; </w:t>
      </w:r>
      <w:hyperlink r:id="rId31" w:history="1">
        <w:r w:rsidRPr="0087071B">
          <w:rPr>
            <w:rFonts w:ascii="Arial" w:eastAsia="Times New Roman" w:hAnsi="Arial" w:cs="Arial"/>
            <w:i/>
            <w:iCs/>
            <w:color w:val="1122CC"/>
            <w:sz w:val="23"/>
            <w:szCs w:val="23"/>
            <w:u w:val="single"/>
          </w:rPr>
          <w:t>FPCI RE-HAB 01 v. E &amp; G Investments, Ltd., supra,</w:t>
        </w:r>
        <w:r w:rsidRPr="0087071B">
          <w:rPr>
            <w:rFonts w:ascii="Arial" w:eastAsia="Times New Roman" w:hAnsi="Arial" w:cs="Arial"/>
            <w:color w:val="1122CC"/>
            <w:sz w:val="23"/>
            <w:szCs w:val="23"/>
            <w:u w:val="single"/>
          </w:rPr>
          <w:t xml:space="preserve"> 207 Cal.App.3d at p. 1022</w:t>
        </w:r>
      </w:hyperlink>
      <w:r w:rsidRPr="0087071B">
        <w:rPr>
          <w:rFonts w:ascii="Arial" w:eastAsia="Times New Roman" w:hAnsi="Arial" w:cs="Arial"/>
          <w:color w:val="222222"/>
          <w:sz w:val="23"/>
          <w:szCs w:val="23"/>
        </w:rPr>
        <w:t xml:space="preserve">.) The </w:t>
      </w:r>
      <w:proofErr w:type="spellStart"/>
      <w:r w:rsidRPr="0087071B">
        <w:rPr>
          <w:rFonts w:ascii="Arial" w:eastAsia="Times New Roman" w:hAnsi="Arial" w:cs="Arial"/>
          <w:color w:val="222222"/>
          <w:sz w:val="23"/>
          <w:szCs w:val="23"/>
        </w:rPr>
        <w:t>nonjudicial</w:t>
      </w:r>
      <w:proofErr w:type="spellEnd"/>
      <w:r w:rsidRPr="0087071B">
        <w:rPr>
          <w:rFonts w:ascii="Arial" w:eastAsia="Times New Roman" w:hAnsi="Arial" w:cs="Arial"/>
          <w:color w:val="222222"/>
          <w:sz w:val="23"/>
          <w:szCs w:val="23"/>
        </w:rPr>
        <w:t xml:space="preserve"> foreclosure occurred because the </w:t>
      </w:r>
      <w:proofErr w:type="spellStart"/>
      <w:r w:rsidRPr="0087071B">
        <w:rPr>
          <w:rFonts w:ascii="Arial" w:eastAsia="Times New Roman" w:hAnsi="Arial" w:cs="Arial"/>
          <w:color w:val="222222"/>
          <w:sz w:val="23"/>
          <w:szCs w:val="23"/>
        </w:rPr>
        <w:t>Shusters</w:t>
      </w:r>
      <w:proofErr w:type="spellEnd"/>
      <w:r w:rsidRPr="0087071B">
        <w:rPr>
          <w:rFonts w:ascii="Arial" w:eastAsia="Times New Roman" w:hAnsi="Arial" w:cs="Arial"/>
          <w:color w:val="222222"/>
          <w:sz w:val="23"/>
          <w:szCs w:val="23"/>
        </w:rPr>
        <w:t xml:space="preserve"> failed to make their loan payments. Unable to avoid that foreclosure, they are unlikely to avoid another. In the absence of an allegation of tender or offer of tender, the trial court properly sustained the demurrers without leave to amend.</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We are mindful that foreclosures are a far too frequent occurrence in today's difficult financial times. But the hardship must not become a haven for those who, as here, do not appear to make any good faith effort to resolve the issue but, instead, seek shelter in minor ministerial omissions or speculative acts that neither misled nor prejudiced them.</w:t>
      </w:r>
    </w:p>
    <w:p w:rsidR="0087071B" w:rsidRPr="0087071B" w:rsidRDefault="0087071B" w:rsidP="0087071B">
      <w:pPr>
        <w:shd w:val="clear" w:color="auto" w:fill="FFFFFF"/>
        <w:spacing w:before="240" w:after="240"/>
        <w:outlineLvl w:val="2"/>
        <w:rPr>
          <w:rFonts w:ascii="Arial" w:eastAsia="Times New Roman" w:hAnsi="Arial" w:cs="Arial"/>
          <w:b/>
          <w:bCs/>
          <w:color w:val="222222"/>
          <w:sz w:val="36"/>
          <w:szCs w:val="36"/>
        </w:rPr>
      </w:pPr>
      <w:r w:rsidRPr="0087071B">
        <w:rPr>
          <w:rFonts w:ascii="Arial" w:eastAsia="Times New Roman" w:hAnsi="Arial" w:cs="Arial"/>
          <w:b/>
          <w:bCs/>
          <w:color w:val="222222"/>
          <w:sz w:val="36"/>
          <w:szCs w:val="36"/>
        </w:rPr>
        <w:t>DISPOSITION</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lastRenderedPageBreak/>
        <w:t>The judgment of dismissal as to each respondent is affirmed. Respondents shall recover their costs on appeal.</w:t>
      </w:r>
    </w:p>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23"/>
          <w:szCs w:val="23"/>
        </w:rPr>
      </w:pPr>
      <w:r w:rsidRPr="0087071B">
        <w:rPr>
          <w:rFonts w:ascii="Arial" w:eastAsia="Times New Roman" w:hAnsi="Arial" w:cs="Arial"/>
          <w:color w:val="222222"/>
          <w:sz w:val="23"/>
          <w:szCs w:val="23"/>
        </w:rPr>
        <w:t>GILBERT, P. J. and YEGAN, J., concurs.</w:t>
      </w:r>
    </w:p>
    <w:bookmarkStart w:id="5" w:name="[1]"/>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18"/>
          <w:szCs w:val="18"/>
        </w:rPr>
      </w:pPr>
      <w:r w:rsidRPr="0087071B">
        <w:rPr>
          <w:rFonts w:ascii="Arial" w:eastAsia="Times New Roman" w:hAnsi="Arial" w:cs="Arial"/>
          <w:color w:val="222222"/>
          <w:sz w:val="18"/>
          <w:szCs w:val="18"/>
        </w:rPr>
        <w:fldChar w:fldCharType="begin"/>
      </w:r>
      <w:r w:rsidRPr="0087071B">
        <w:rPr>
          <w:rFonts w:ascii="Arial" w:eastAsia="Times New Roman" w:hAnsi="Arial" w:cs="Arial"/>
          <w:color w:val="222222"/>
          <w:sz w:val="18"/>
          <w:szCs w:val="18"/>
        </w:rPr>
        <w:instrText xml:space="preserve"> HYPERLINK "http://scholar.google.com/scholar_case?q=Shuster+v.+BAC+Home+Loans+Servicing+LP,+No.+B235890+(Nov.+29,+2012).++&amp;hl=en&amp;as_sdt=2,38&amp;case=5001073207760878126&amp;scilh=0" \l "r[1]" </w:instrText>
      </w:r>
      <w:r w:rsidRPr="0087071B">
        <w:rPr>
          <w:rFonts w:ascii="Arial" w:eastAsia="Times New Roman" w:hAnsi="Arial" w:cs="Arial"/>
          <w:color w:val="222222"/>
          <w:sz w:val="18"/>
          <w:szCs w:val="18"/>
        </w:rPr>
        <w:fldChar w:fldCharType="separate"/>
      </w:r>
      <w:r w:rsidRPr="0087071B">
        <w:rPr>
          <w:rFonts w:ascii="Arial" w:eastAsia="Times New Roman" w:hAnsi="Arial" w:cs="Arial"/>
          <w:color w:val="1122CC"/>
          <w:sz w:val="18"/>
          <w:szCs w:val="18"/>
          <w:u w:val="single"/>
        </w:rPr>
        <w:t>[1]</w:t>
      </w:r>
      <w:r w:rsidRPr="0087071B">
        <w:rPr>
          <w:rFonts w:ascii="Arial" w:eastAsia="Times New Roman" w:hAnsi="Arial" w:cs="Arial"/>
          <w:color w:val="222222"/>
          <w:sz w:val="18"/>
          <w:szCs w:val="18"/>
        </w:rPr>
        <w:fldChar w:fldCharType="end"/>
      </w:r>
      <w:bookmarkEnd w:id="5"/>
      <w:r w:rsidRPr="0087071B">
        <w:rPr>
          <w:rFonts w:ascii="Arial" w:eastAsia="Times New Roman" w:hAnsi="Arial" w:cs="Arial"/>
          <w:color w:val="222222"/>
          <w:sz w:val="18"/>
          <w:szCs w:val="18"/>
        </w:rPr>
        <w:t xml:space="preserve"> BAC formerly was known as Countrywide Home Loans Servicing, LP, as servicer for HSBC Bank USA, N.A. Bank of America, N.A. is the successor by merger to BAC.</w:t>
      </w:r>
    </w:p>
    <w:bookmarkStart w:id="6" w:name="[2]"/>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18"/>
          <w:szCs w:val="18"/>
        </w:rPr>
      </w:pPr>
      <w:r w:rsidRPr="0087071B">
        <w:rPr>
          <w:rFonts w:ascii="Arial" w:eastAsia="Times New Roman" w:hAnsi="Arial" w:cs="Arial"/>
          <w:color w:val="222222"/>
          <w:sz w:val="18"/>
          <w:szCs w:val="18"/>
        </w:rPr>
        <w:fldChar w:fldCharType="begin"/>
      </w:r>
      <w:r w:rsidRPr="0087071B">
        <w:rPr>
          <w:rFonts w:ascii="Arial" w:eastAsia="Times New Roman" w:hAnsi="Arial" w:cs="Arial"/>
          <w:color w:val="222222"/>
          <w:sz w:val="18"/>
          <w:szCs w:val="18"/>
        </w:rPr>
        <w:instrText xml:space="preserve"> HYPERLINK "http://scholar.google.com/scholar_case?q=Shuster+v.+BAC+Home+Loans+Servicing+LP,+No.+B235890+(Nov.+29,+2012).++&amp;hl=en&amp;as_sdt=2,38&amp;case=5001073207760878126&amp;scilh=0" \l "r[2]" </w:instrText>
      </w:r>
      <w:r w:rsidRPr="0087071B">
        <w:rPr>
          <w:rFonts w:ascii="Arial" w:eastAsia="Times New Roman" w:hAnsi="Arial" w:cs="Arial"/>
          <w:color w:val="222222"/>
          <w:sz w:val="18"/>
          <w:szCs w:val="18"/>
        </w:rPr>
        <w:fldChar w:fldCharType="separate"/>
      </w:r>
      <w:r w:rsidRPr="0087071B">
        <w:rPr>
          <w:rFonts w:ascii="Arial" w:eastAsia="Times New Roman" w:hAnsi="Arial" w:cs="Arial"/>
          <w:color w:val="1122CC"/>
          <w:sz w:val="18"/>
          <w:szCs w:val="18"/>
          <w:u w:val="single"/>
        </w:rPr>
        <w:t>[2]</w:t>
      </w:r>
      <w:r w:rsidRPr="0087071B">
        <w:rPr>
          <w:rFonts w:ascii="Arial" w:eastAsia="Times New Roman" w:hAnsi="Arial" w:cs="Arial"/>
          <w:color w:val="222222"/>
          <w:sz w:val="18"/>
          <w:szCs w:val="18"/>
        </w:rPr>
        <w:fldChar w:fldCharType="end"/>
      </w:r>
      <w:bookmarkEnd w:id="6"/>
      <w:r w:rsidRPr="0087071B">
        <w:rPr>
          <w:rFonts w:ascii="Arial" w:eastAsia="Times New Roman" w:hAnsi="Arial" w:cs="Arial"/>
          <w:color w:val="222222"/>
          <w:sz w:val="18"/>
          <w:szCs w:val="18"/>
        </w:rPr>
        <w:t xml:space="preserve"> All statutory references are to the Civil Code.</w:t>
      </w:r>
    </w:p>
    <w:bookmarkStart w:id="7" w:name="[3]"/>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18"/>
          <w:szCs w:val="18"/>
        </w:rPr>
      </w:pPr>
      <w:r w:rsidRPr="0087071B">
        <w:rPr>
          <w:rFonts w:ascii="Arial" w:eastAsia="Times New Roman" w:hAnsi="Arial" w:cs="Arial"/>
          <w:color w:val="222222"/>
          <w:sz w:val="18"/>
          <w:szCs w:val="18"/>
        </w:rPr>
        <w:fldChar w:fldCharType="begin"/>
      </w:r>
      <w:r w:rsidRPr="0087071B">
        <w:rPr>
          <w:rFonts w:ascii="Arial" w:eastAsia="Times New Roman" w:hAnsi="Arial" w:cs="Arial"/>
          <w:color w:val="222222"/>
          <w:sz w:val="18"/>
          <w:szCs w:val="18"/>
        </w:rPr>
        <w:instrText xml:space="preserve"> HYPERLINK "http://scholar.google.com/scholar_case?q=Shuster+v.+BAC+Home+Loans+Servicing+LP,+No.+B235890+(Nov.+29,+2012).++&amp;hl=en&amp;as_sdt=2,38&amp;case=5001073207760878126&amp;scilh=0" \l "r[3]" </w:instrText>
      </w:r>
      <w:r w:rsidRPr="0087071B">
        <w:rPr>
          <w:rFonts w:ascii="Arial" w:eastAsia="Times New Roman" w:hAnsi="Arial" w:cs="Arial"/>
          <w:color w:val="222222"/>
          <w:sz w:val="18"/>
          <w:szCs w:val="18"/>
        </w:rPr>
        <w:fldChar w:fldCharType="separate"/>
      </w:r>
      <w:r w:rsidRPr="0087071B">
        <w:rPr>
          <w:rFonts w:ascii="Arial" w:eastAsia="Times New Roman" w:hAnsi="Arial" w:cs="Arial"/>
          <w:color w:val="1122CC"/>
          <w:sz w:val="18"/>
          <w:szCs w:val="18"/>
          <w:u w:val="single"/>
        </w:rPr>
        <w:t>[3]</w:t>
      </w:r>
      <w:r w:rsidRPr="0087071B">
        <w:rPr>
          <w:rFonts w:ascii="Arial" w:eastAsia="Times New Roman" w:hAnsi="Arial" w:cs="Arial"/>
          <w:color w:val="222222"/>
          <w:sz w:val="18"/>
          <w:szCs w:val="18"/>
        </w:rPr>
        <w:fldChar w:fldCharType="end"/>
      </w:r>
      <w:bookmarkEnd w:id="7"/>
      <w:r w:rsidRPr="0087071B">
        <w:rPr>
          <w:rFonts w:ascii="Arial" w:eastAsia="Times New Roman" w:hAnsi="Arial" w:cs="Arial"/>
          <w:color w:val="222222"/>
          <w:sz w:val="18"/>
          <w:szCs w:val="18"/>
        </w:rPr>
        <w:t xml:space="preserve"> Although the second amended complaint alleged claims against BAC and </w:t>
      </w:r>
      <w:proofErr w:type="spellStart"/>
      <w:r w:rsidRPr="0087071B">
        <w:rPr>
          <w:rFonts w:ascii="Arial" w:eastAsia="Times New Roman" w:hAnsi="Arial" w:cs="Arial"/>
          <w:color w:val="222222"/>
          <w:sz w:val="18"/>
          <w:szCs w:val="18"/>
        </w:rPr>
        <w:t>ReconTrust</w:t>
      </w:r>
      <w:proofErr w:type="spellEnd"/>
      <w:r w:rsidRPr="0087071B">
        <w:rPr>
          <w:rFonts w:ascii="Arial" w:eastAsia="Times New Roman" w:hAnsi="Arial" w:cs="Arial"/>
          <w:color w:val="222222"/>
          <w:sz w:val="18"/>
          <w:szCs w:val="18"/>
        </w:rPr>
        <w:t>, they did not demur to that complaint because the trial court already had dismissed them from the case.</w:t>
      </w:r>
    </w:p>
    <w:bookmarkStart w:id="8" w:name="[4]"/>
    <w:p w:rsidR="0087071B" w:rsidRPr="0087071B" w:rsidRDefault="0087071B" w:rsidP="0087071B">
      <w:pPr>
        <w:shd w:val="clear" w:color="auto" w:fill="FFFFFF"/>
        <w:spacing w:before="100" w:beforeAutospacing="1" w:after="100" w:afterAutospacing="1"/>
        <w:rPr>
          <w:rFonts w:ascii="Arial" w:eastAsia="Times New Roman" w:hAnsi="Arial" w:cs="Arial"/>
          <w:color w:val="222222"/>
          <w:sz w:val="18"/>
          <w:szCs w:val="18"/>
        </w:rPr>
      </w:pPr>
      <w:r w:rsidRPr="0087071B">
        <w:rPr>
          <w:rFonts w:ascii="Arial" w:eastAsia="Times New Roman" w:hAnsi="Arial" w:cs="Arial"/>
          <w:color w:val="222222"/>
          <w:sz w:val="18"/>
          <w:szCs w:val="18"/>
        </w:rPr>
        <w:fldChar w:fldCharType="begin"/>
      </w:r>
      <w:r w:rsidRPr="0087071B">
        <w:rPr>
          <w:rFonts w:ascii="Arial" w:eastAsia="Times New Roman" w:hAnsi="Arial" w:cs="Arial"/>
          <w:color w:val="222222"/>
          <w:sz w:val="18"/>
          <w:szCs w:val="18"/>
        </w:rPr>
        <w:instrText xml:space="preserve"> HYPERLINK "http://scholar.google.com/scholar_case?q=Shuster+v.+BAC+Home+Loans+Servicing+LP,+No.+B235890+(Nov.+29,+2012).++&amp;hl=en&amp;as_sdt=2,38&amp;case=5001073207760878126&amp;scilh=0" \l "r[4]" </w:instrText>
      </w:r>
      <w:r w:rsidRPr="0087071B">
        <w:rPr>
          <w:rFonts w:ascii="Arial" w:eastAsia="Times New Roman" w:hAnsi="Arial" w:cs="Arial"/>
          <w:color w:val="222222"/>
          <w:sz w:val="18"/>
          <w:szCs w:val="18"/>
        </w:rPr>
        <w:fldChar w:fldCharType="separate"/>
      </w:r>
      <w:r w:rsidRPr="0087071B">
        <w:rPr>
          <w:rFonts w:ascii="Arial" w:eastAsia="Times New Roman" w:hAnsi="Arial" w:cs="Arial"/>
          <w:color w:val="1122CC"/>
          <w:sz w:val="18"/>
          <w:szCs w:val="18"/>
          <w:u w:val="single"/>
        </w:rPr>
        <w:t>[4]</w:t>
      </w:r>
      <w:r w:rsidRPr="0087071B">
        <w:rPr>
          <w:rFonts w:ascii="Arial" w:eastAsia="Times New Roman" w:hAnsi="Arial" w:cs="Arial"/>
          <w:color w:val="222222"/>
          <w:sz w:val="18"/>
          <w:szCs w:val="18"/>
        </w:rPr>
        <w:fldChar w:fldCharType="end"/>
      </w:r>
      <w:bookmarkEnd w:id="8"/>
      <w:r w:rsidRPr="0087071B">
        <w:rPr>
          <w:rFonts w:ascii="Arial" w:eastAsia="Times New Roman" w:hAnsi="Arial" w:cs="Arial"/>
          <w:color w:val="222222"/>
          <w:sz w:val="18"/>
          <w:szCs w:val="18"/>
        </w:rPr>
        <w:t xml:space="preserve"> The </w:t>
      </w:r>
      <w:proofErr w:type="spellStart"/>
      <w:r w:rsidRPr="0087071B">
        <w:rPr>
          <w:rFonts w:ascii="Arial" w:eastAsia="Times New Roman" w:hAnsi="Arial" w:cs="Arial"/>
          <w:color w:val="222222"/>
          <w:sz w:val="18"/>
          <w:szCs w:val="18"/>
        </w:rPr>
        <w:t>Shusters</w:t>
      </w:r>
      <w:proofErr w:type="spellEnd"/>
      <w:r w:rsidRPr="0087071B">
        <w:rPr>
          <w:rFonts w:ascii="Arial" w:eastAsia="Times New Roman" w:hAnsi="Arial" w:cs="Arial"/>
          <w:color w:val="222222"/>
          <w:sz w:val="18"/>
          <w:szCs w:val="18"/>
        </w:rPr>
        <w:t xml:space="preserve"> summarily assert the trial court abused its discretion by overruling their objections to the request for judicial notice filed with Arch Bay's third demurrer. The </w:t>
      </w:r>
      <w:proofErr w:type="spellStart"/>
      <w:r w:rsidRPr="0087071B">
        <w:rPr>
          <w:rFonts w:ascii="Arial" w:eastAsia="Times New Roman" w:hAnsi="Arial" w:cs="Arial"/>
          <w:color w:val="222222"/>
          <w:sz w:val="18"/>
          <w:szCs w:val="18"/>
        </w:rPr>
        <w:t>Shusters</w:t>
      </w:r>
      <w:proofErr w:type="spellEnd"/>
      <w:r w:rsidRPr="0087071B">
        <w:rPr>
          <w:rFonts w:ascii="Arial" w:eastAsia="Times New Roman" w:hAnsi="Arial" w:cs="Arial"/>
          <w:color w:val="222222"/>
          <w:sz w:val="18"/>
          <w:szCs w:val="18"/>
        </w:rPr>
        <w:t xml:space="preserve"> waived these objections by failing to oppose the trial court's grant of the same judicial notice request in the two prior demurrer proceedings. </w:t>
      </w:r>
      <w:proofErr w:type="gramStart"/>
      <w:r w:rsidRPr="0087071B">
        <w:rPr>
          <w:rFonts w:ascii="Arial" w:eastAsia="Times New Roman" w:hAnsi="Arial" w:cs="Arial"/>
          <w:color w:val="222222"/>
          <w:sz w:val="18"/>
          <w:szCs w:val="18"/>
        </w:rPr>
        <w:t xml:space="preserve">(See </w:t>
      </w:r>
      <w:hyperlink r:id="rId32" w:history="1">
        <w:proofErr w:type="spellStart"/>
        <w:r w:rsidRPr="0087071B">
          <w:rPr>
            <w:rFonts w:ascii="Arial" w:eastAsia="Times New Roman" w:hAnsi="Arial" w:cs="Arial"/>
            <w:i/>
            <w:iCs/>
            <w:color w:val="1122CC"/>
            <w:sz w:val="18"/>
            <w:szCs w:val="18"/>
            <w:u w:val="single"/>
          </w:rPr>
          <w:t>Younan</w:t>
        </w:r>
        <w:proofErr w:type="spellEnd"/>
        <w:r w:rsidRPr="0087071B">
          <w:rPr>
            <w:rFonts w:ascii="Arial" w:eastAsia="Times New Roman" w:hAnsi="Arial" w:cs="Arial"/>
            <w:i/>
            <w:iCs/>
            <w:color w:val="1122CC"/>
            <w:sz w:val="18"/>
            <w:szCs w:val="18"/>
            <w:u w:val="single"/>
          </w:rPr>
          <w:t xml:space="preserve"> v. Caruso</w:t>
        </w:r>
        <w:r w:rsidRPr="0087071B">
          <w:rPr>
            <w:rFonts w:ascii="Arial" w:eastAsia="Times New Roman" w:hAnsi="Arial" w:cs="Arial"/>
            <w:color w:val="1122CC"/>
            <w:sz w:val="18"/>
            <w:szCs w:val="18"/>
            <w:u w:val="single"/>
          </w:rPr>
          <w:t xml:space="preserve"> (1996) 51 Cal.App.4th 401, 406, fn. 3</w:t>
        </w:r>
      </w:hyperlink>
      <w:r w:rsidRPr="0087071B">
        <w:rPr>
          <w:rFonts w:ascii="Arial" w:eastAsia="Times New Roman" w:hAnsi="Arial" w:cs="Arial"/>
          <w:color w:val="222222"/>
          <w:sz w:val="18"/>
          <w:szCs w:val="18"/>
        </w:rPr>
        <w:t xml:space="preserve"> ["[F]</w:t>
      </w:r>
      <w:proofErr w:type="spellStart"/>
      <w:r w:rsidRPr="0087071B">
        <w:rPr>
          <w:rFonts w:ascii="Arial" w:eastAsia="Times New Roman" w:hAnsi="Arial" w:cs="Arial"/>
          <w:color w:val="222222"/>
          <w:sz w:val="18"/>
          <w:szCs w:val="18"/>
        </w:rPr>
        <w:t>ailure</w:t>
      </w:r>
      <w:proofErr w:type="spellEnd"/>
      <w:r w:rsidRPr="0087071B">
        <w:rPr>
          <w:rFonts w:ascii="Arial" w:eastAsia="Times New Roman" w:hAnsi="Arial" w:cs="Arial"/>
          <w:color w:val="222222"/>
          <w:sz w:val="18"/>
          <w:szCs w:val="18"/>
        </w:rPr>
        <w:t xml:space="preserve"> to timely object to the propriety of judicial notice . . . is deemed a waiver of that objection"].)</w:t>
      </w:r>
      <w:proofErr w:type="gramEnd"/>
      <w:r w:rsidRPr="0087071B">
        <w:rPr>
          <w:rFonts w:ascii="Arial" w:eastAsia="Times New Roman" w:hAnsi="Arial" w:cs="Arial"/>
          <w:color w:val="222222"/>
          <w:sz w:val="18"/>
          <w:szCs w:val="18"/>
        </w:rPr>
        <w:t xml:space="preserve"> In any event, the </w:t>
      </w:r>
      <w:proofErr w:type="spellStart"/>
      <w:r w:rsidRPr="0087071B">
        <w:rPr>
          <w:rFonts w:ascii="Arial" w:eastAsia="Times New Roman" w:hAnsi="Arial" w:cs="Arial"/>
          <w:color w:val="222222"/>
          <w:sz w:val="18"/>
          <w:szCs w:val="18"/>
        </w:rPr>
        <w:t>Shusters</w:t>
      </w:r>
      <w:proofErr w:type="spellEnd"/>
      <w:r w:rsidRPr="0087071B">
        <w:rPr>
          <w:rFonts w:ascii="Arial" w:eastAsia="Times New Roman" w:hAnsi="Arial" w:cs="Arial"/>
          <w:color w:val="222222"/>
          <w:sz w:val="18"/>
          <w:szCs w:val="18"/>
        </w:rPr>
        <w:t xml:space="preserve"> have not demonstrated reversible error. They imply the trial court "seems" to have erred by taking judicial notice of the contents of documents, but do not specify where this occurred in the record or how it affected the judgment. (See Cal. Rules of Court, rule 8.204(a</w:t>
      </w:r>
      <w:proofErr w:type="gramStart"/>
      <w:r w:rsidRPr="0087071B">
        <w:rPr>
          <w:rFonts w:ascii="Arial" w:eastAsia="Times New Roman" w:hAnsi="Arial" w:cs="Arial"/>
          <w:color w:val="222222"/>
          <w:sz w:val="18"/>
          <w:szCs w:val="18"/>
        </w:rPr>
        <w:t>)(</w:t>
      </w:r>
      <w:proofErr w:type="gramEnd"/>
      <w:r w:rsidRPr="0087071B">
        <w:rPr>
          <w:rFonts w:ascii="Arial" w:eastAsia="Times New Roman" w:hAnsi="Arial" w:cs="Arial"/>
          <w:color w:val="222222"/>
          <w:sz w:val="18"/>
          <w:szCs w:val="18"/>
        </w:rPr>
        <w:t xml:space="preserve">1)(C); </w:t>
      </w:r>
      <w:hyperlink r:id="rId33" w:history="1">
        <w:proofErr w:type="spellStart"/>
        <w:r w:rsidRPr="0087071B">
          <w:rPr>
            <w:rFonts w:ascii="Arial" w:eastAsia="Times New Roman" w:hAnsi="Arial" w:cs="Arial"/>
            <w:i/>
            <w:iCs/>
            <w:color w:val="1122CC"/>
            <w:sz w:val="18"/>
            <w:szCs w:val="18"/>
            <w:u w:val="single"/>
          </w:rPr>
          <w:t>Guthrey</w:t>
        </w:r>
        <w:proofErr w:type="spellEnd"/>
        <w:r w:rsidRPr="0087071B">
          <w:rPr>
            <w:rFonts w:ascii="Arial" w:eastAsia="Times New Roman" w:hAnsi="Arial" w:cs="Arial"/>
            <w:i/>
            <w:iCs/>
            <w:color w:val="1122CC"/>
            <w:sz w:val="18"/>
            <w:szCs w:val="18"/>
            <w:u w:val="single"/>
          </w:rPr>
          <w:t xml:space="preserve"> v. State of California (</w:t>
        </w:r>
        <w:r w:rsidRPr="0087071B">
          <w:rPr>
            <w:rFonts w:ascii="Arial" w:eastAsia="Times New Roman" w:hAnsi="Arial" w:cs="Arial"/>
            <w:color w:val="1122CC"/>
            <w:sz w:val="18"/>
            <w:szCs w:val="18"/>
            <w:u w:val="single"/>
          </w:rPr>
          <w:t>1998) 63 Cal.App.4th 1108, 1115</w:t>
        </w:r>
      </w:hyperlink>
      <w:r w:rsidRPr="0087071B">
        <w:rPr>
          <w:rFonts w:ascii="Arial" w:eastAsia="Times New Roman" w:hAnsi="Arial" w:cs="Arial"/>
          <w:color w:val="222222"/>
          <w:sz w:val="18"/>
          <w:szCs w:val="18"/>
        </w:rPr>
        <w:t>.)</w:t>
      </w:r>
    </w:p>
    <w:p w:rsidR="007723F3" w:rsidRDefault="007723F3"/>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1B"/>
    <w:rsid w:val="00647866"/>
    <w:rsid w:val="007723F3"/>
    <w:rsid w:val="0087071B"/>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2"/>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rFonts w:ascii="Calibri" w:hAnsi="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szCs w:val="24"/>
    </w:rPr>
  </w:style>
  <w:style w:type="paragraph" w:styleId="EnvelopeReturn">
    <w:name w:val="envelope return"/>
    <w:basedOn w:val="Normal"/>
    <w:uiPriority w:val="99"/>
    <w:semiHidden/>
    <w:unhideWhenUsed/>
    <w:rsid w:val="00B472E1"/>
    <w:rPr>
      <w:rFonts w:ascii="Verdana" w:eastAsiaTheme="majorEastAsia" w:hAnsi="Verdana" w:cstheme="majorBid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2"/>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rFonts w:ascii="Calibri" w:hAnsi="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szCs w:val="24"/>
    </w:rPr>
  </w:style>
  <w:style w:type="paragraph" w:styleId="EnvelopeReturn">
    <w:name w:val="envelope return"/>
    <w:basedOn w:val="Normal"/>
    <w:uiPriority w:val="99"/>
    <w:semiHidden/>
    <w:unhideWhenUsed/>
    <w:rsid w:val="00B472E1"/>
    <w:rPr>
      <w:rFonts w:ascii="Verdana" w:eastAsiaTheme="majorEastAsia" w:hAnsi="Verdana" w:cstheme="maj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164754">
      <w:bodyDiv w:val="1"/>
      <w:marLeft w:val="0"/>
      <w:marRight w:val="0"/>
      <w:marTop w:val="0"/>
      <w:marBottom w:val="0"/>
      <w:divBdr>
        <w:top w:val="none" w:sz="0" w:space="0" w:color="auto"/>
        <w:left w:val="none" w:sz="0" w:space="0" w:color="auto"/>
        <w:bottom w:val="none" w:sz="0" w:space="0" w:color="auto"/>
        <w:right w:val="none" w:sz="0" w:space="0" w:color="auto"/>
      </w:divBdr>
      <w:divsChild>
        <w:div w:id="767121056">
          <w:marLeft w:val="0"/>
          <w:marRight w:val="0"/>
          <w:marTop w:val="0"/>
          <w:marBottom w:val="0"/>
          <w:divBdr>
            <w:top w:val="none" w:sz="0" w:space="0" w:color="auto"/>
            <w:left w:val="none" w:sz="0" w:space="0" w:color="auto"/>
            <w:bottom w:val="none" w:sz="0" w:space="0" w:color="auto"/>
            <w:right w:val="none" w:sz="0" w:space="0" w:color="auto"/>
          </w:divBdr>
          <w:divsChild>
            <w:div w:id="641423254">
              <w:marLeft w:val="0"/>
              <w:marRight w:val="0"/>
              <w:marTop w:val="0"/>
              <w:marBottom w:val="0"/>
              <w:divBdr>
                <w:top w:val="none" w:sz="0" w:space="0" w:color="auto"/>
                <w:left w:val="none" w:sz="0" w:space="0" w:color="auto"/>
                <w:bottom w:val="none" w:sz="0" w:space="0" w:color="auto"/>
                <w:right w:val="none" w:sz="0" w:space="0" w:color="auto"/>
              </w:divBdr>
              <w:divsChild>
                <w:div w:id="1667052031">
                  <w:marLeft w:val="0"/>
                  <w:marRight w:val="0"/>
                  <w:marTop w:val="0"/>
                  <w:marBottom w:val="0"/>
                  <w:divBdr>
                    <w:top w:val="single" w:sz="6" w:space="10" w:color="CACACA"/>
                    <w:left w:val="single" w:sz="6" w:space="31" w:color="CACACA"/>
                    <w:bottom w:val="single" w:sz="6" w:space="10" w:color="CACACA"/>
                    <w:right w:val="single" w:sz="6" w:space="31" w:color="CACACA"/>
                  </w:divBdr>
                  <w:divsChild>
                    <w:div w:id="63421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lar.google.com/scholar_case?case=7440917533292259720&amp;q=Shuster+v.+BAC+Home+Loans+Servicing+LP,+No.+B235890+(Nov.+29,+2012).++&amp;hl=en&amp;as_sdt=2,38&amp;scilh=0" TargetMode="External"/><Relationship Id="rId13" Type="http://schemas.openxmlformats.org/officeDocument/2006/relationships/hyperlink" Target="http://scholar.google.com/scholar_case?case=13477470184239375104&amp;q=Shuster+v.+BAC+Home+Loans+Servicing+LP,+No.+B235890+(Nov.+29,+2012).++&amp;hl=en&amp;as_sdt=2,38&amp;scilh=0" TargetMode="External"/><Relationship Id="rId18" Type="http://schemas.openxmlformats.org/officeDocument/2006/relationships/hyperlink" Target="http://scholar.google.com/scholar_case?about=6848279629493919808&amp;q=Shuster+v.+BAC+Home+Loans+Servicing+LP,+No.+B235890+(Nov.+29,+2012).++&amp;hl=en&amp;as_sdt=2,38&amp;scilh=0" TargetMode="External"/><Relationship Id="rId26" Type="http://schemas.openxmlformats.org/officeDocument/2006/relationships/hyperlink" Target="http://scholar.google.com/scholar_case?case=17838543812314829317&amp;q=Shuster+v.+BAC+Home+Loans+Servicing+LP,+No.+B235890+(Nov.+29,+2012).++&amp;hl=en&amp;as_sdt=2,38&amp;scilh=0" TargetMode="External"/><Relationship Id="rId3" Type="http://schemas.openxmlformats.org/officeDocument/2006/relationships/settings" Target="settings.xml"/><Relationship Id="rId21" Type="http://schemas.openxmlformats.org/officeDocument/2006/relationships/hyperlink" Target="http://scholar.google.com/scholar_case?about=14229816742360793531&amp;q=Shuster+v.+BAC+Home+Loans+Servicing+LP,+No.+B235890+(Nov.+29,+2012).++&amp;hl=en&amp;as_sdt=2,38&amp;scilh=0" TargetMode="External"/><Relationship Id="rId34" Type="http://schemas.openxmlformats.org/officeDocument/2006/relationships/fontTable" Target="fontTable.xml"/><Relationship Id="rId7" Type="http://schemas.openxmlformats.org/officeDocument/2006/relationships/hyperlink" Target="http://scholar.google.com/scholar_case?case=6811376956615391725&amp;q=Shuster+v.+BAC+Home+Loans+Servicing+LP,+No.+B235890+(Nov.+29,+2012).++&amp;hl=en&amp;as_sdt=2,38&amp;scilh=0" TargetMode="External"/><Relationship Id="rId12" Type="http://schemas.openxmlformats.org/officeDocument/2006/relationships/hyperlink" Target="http://scholar.google.com/scholar_case?about=6848279629493919808&amp;q=Shuster+v.+BAC+Home+Loans+Servicing+LP,+No.+B235890+(Nov.+29,+2012).++&amp;hl=en&amp;as_sdt=2,38&amp;scilh=0" TargetMode="External"/><Relationship Id="rId17" Type="http://schemas.openxmlformats.org/officeDocument/2006/relationships/hyperlink" Target="http://scholar.google.com/scholar_case?case=16480839316241982486&amp;q=Shuster+v.+BAC+Home+Loans+Servicing+LP,+No.+B235890+(Nov.+29,+2012).++&amp;hl=en&amp;as_sdt=2,38&amp;scilh=0" TargetMode="External"/><Relationship Id="rId25" Type="http://schemas.openxmlformats.org/officeDocument/2006/relationships/hyperlink" Target="http://scholar.google.com/scholar_case?case=17484537388647484729&amp;q=Shuster+v.+BAC+Home+Loans+Servicing+LP,+No.+B235890+(Nov.+29,+2012).++&amp;hl=en&amp;as_sdt=2,38&amp;scilh=0" TargetMode="External"/><Relationship Id="rId33" Type="http://schemas.openxmlformats.org/officeDocument/2006/relationships/hyperlink" Target="http://scholar.google.com/scholar_case?case=6618398485297561631&amp;q=Shuster+v.+BAC+Home+Loans+Servicing+LP,+No.+B235890+(Nov.+29,+2012).++&amp;hl=en&amp;as_sdt=2,38&amp;scilh=0" TargetMode="External"/><Relationship Id="rId2" Type="http://schemas.microsoft.com/office/2007/relationships/stylesWithEffects" Target="stylesWithEffects.xml"/><Relationship Id="rId16" Type="http://schemas.openxmlformats.org/officeDocument/2006/relationships/hyperlink" Target="http://scholar.google.com/scholar_case?case=12637116494555105751&amp;q=Shuster+v.+BAC+Home+Loans+Servicing+LP,+No.+B235890+(Nov.+29,+2012).++&amp;hl=en&amp;as_sdt=2,38&amp;scilh=0" TargetMode="External"/><Relationship Id="rId20" Type="http://schemas.openxmlformats.org/officeDocument/2006/relationships/hyperlink" Target="http://scholar.google.com/scholar_case?case=2212728808777428750&amp;q=Shuster+v.+BAC+Home+Loans+Servicing+LP,+No.+B235890+(Nov.+29,+2012).++&amp;hl=en&amp;as_sdt=2,38&amp;scilh=0" TargetMode="External"/><Relationship Id="rId29" Type="http://schemas.openxmlformats.org/officeDocument/2006/relationships/hyperlink" Target="http://scholar.google.com/scholar_case?case=17419593550907070161&amp;q=Shuster+v.+BAC+Home+Loans+Servicing+LP,+No.+B235890+(Nov.+29,+2012).++&amp;hl=en&amp;as_sdt=2,38&amp;scilh=0" TargetMode="External"/><Relationship Id="rId1" Type="http://schemas.openxmlformats.org/officeDocument/2006/relationships/styles" Target="styles.xml"/><Relationship Id="rId6" Type="http://schemas.openxmlformats.org/officeDocument/2006/relationships/hyperlink" Target="http://scholar.google.com/scholar_case?case=5481496770594112692&amp;q=Shuster+v.+BAC+Home+Loans+Servicing+LP,+No.+B235890+(Nov.+29,+2012).++&amp;hl=en&amp;as_sdt=2,38&amp;scilh=0" TargetMode="External"/><Relationship Id="rId11" Type="http://schemas.openxmlformats.org/officeDocument/2006/relationships/hyperlink" Target="http://scholar.google.com/scholar_case?case=16480839316241982486&amp;q=Shuster+v.+BAC+Home+Loans+Servicing+LP,+No.+B235890+(Nov.+29,+2012).++&amp;hl=en&amp;as_sdt=2,38&amp;scilh=0" TargetMode="External"/><Relationship Id="rId24" Type="http://schemas.openxmlformats.org/officeDocument/2006/relationships/hyperlink" Target="http://scholar.google.com/scholar_case?case=13477470184239375104&amp;q=Shuster+v.+BAC+Home+Loans+Servicing+LP,+No.+B235890+(Nov.+29,+2012).++&amp;hl=en&amp;as_sdt=2,38&amp;scilh=0" TargetMode="External"/><Relationship Id="rId32" Type="http://schemas.openxmlformats.org/officeDocument/2006/relationships/hyperlink" Target="http://scholar.google.com/scholar_case?case=1473168031830284947&amp;q=Shuster+v.+BAC+Home+Loans+Servicing+LP,+No.+B235890+(Nov.+29,+2012).++&amp;hl=en&amp;as_sdt=2,38&amp;scilh=0" TargetMode="External"/><Relationship Id="rId5" Type="http://schemas.openxmlformats.org/officeDocument/2006/relationships/hyperlink" Target="http://scholar.google.com/scholar?scidkt=5930027773178622005&amp;as_sdt=2&amp;hl=en" TargetMode="External"/><Relationship Id="rId15" Type="http://schemas.openxmlformats.org/officeDocument/2006/relationships/hyperlink" Target="http://scholar.google.com/scholar_case?case=14121973459975813466&amp;q=Shuster+v.+BAC+Home+Loans+Servicing+LP,+No.+B235890+(Nov.+29,+2012).++&amp;hl=en&amp;as_sdt=2,38&amp;scilh=0" TargetMode="External"/><Relationship Id="rId23" Type="http://schemas.openxmlformats.org/officeDocument/2006/relationships/hyperlink" Target="http://scholar.google.com/scholar_case?case=431768927876270304&amp;q=Shuster+v.+BAC+Home+Loans+Servicing+LP,+No.+B235890+(Nov.+29,+2012).++&amp;hl=en&amp;as_sdt=2,38&amp;scilh=0" TargetMode="External"/><Relationship Id="rId28" Type="http://schemas.openxmlformats.org/officeDocument/2006/relationships/hyperlink" Target="http://scholar.google.com/scholar_case?case=17419593550907070161&amp;q=Shuster+v.+BAC+Home+Loans+Servicing+LP,+No.+B235890+(Nov.+29,+2012).++&amp;hl=en&amp;as_sdt=2,38&amp;scilh=0" TargetMode="External"/><Relationship Id="rId10" Type="http://schemas.openxmlformats.org/officeDocument/2006/relationships/hyperlink" Target="http://scholar.google.com/scholar_case?case=13477470184239375104&amp;q=Shuster+v.+BAC+Home+Loans+Servicing+LP,+No.+B235890+(Nov.+29,+2012).++&amp;hl=en&amp;as_sdt=2,38&amp;scilh=0" TargetMode="External"/><Relationship Id="rId19" Type="http://schemas.openxmlformats.org/officeDocument/2006/relationships/hyperlink" Target="http://scholar.google.com/scholar_case?case=965375176994752369&amp;q=Shuster+v.+BAC+Home+Loans+Servicing+LP,+No.+B235890+(Nov.+29,+2012).++&amp;hl=en&amp;as_sdt=2,38&amp;scilh=0" TargetMode="External"/><Relationship Id="rId31" Type="http://schemas.openxmlformats.org/officeDocument/2006/relationships/hyperlink" Target="http://scholar.google.com/scholar_case?case=16470290441785095537&amp;q=Shuster+v.+BAC+Home+Loans+Servicing+LP,+No.+B235890+(Nov.+29,+2012).++&amp;hl=en&amp;as_sdt=2,38&amp;scilh=0" TargetMode="External"/><Relationship Id="rId4" Type="http://schemas.openxmlformats.org/officeDocument/2006/relationships/webSettings" Target="webSettings.xml"/><Relationship Id="rId9" Type="http://schemas.openxmlformats.org/officeDocument/2006/relationships/hyperlink" Target="http://scholar.google.com/scholar_case?case=11674723754071302339&amp;q=Shuster+v.+BAC+Home+Loans+Servicing+LP,+No.+B235890+(Nov.+29,+2012).++&amp;hl=en&amp;as_sdt=2,38&amp;scilh=0" TargetMode="External"/><Relationship Id="rId14" Type="http://schemas.openxmlformats.org/officeDocument/2006/relationships/hyperlink" Target="http://scholar.google.com/scholar_case?case=15583178295756362810&amp;q=Shuster+v.+BAC+Home+Loans+Servicing+LP,+No.+B235890+(Nov.+29,+2012).++&amp;hl=en&amp;as_sdt=2,38&amp;scilh=0" TargetMode="External"/><Relationship Id="rId22" Type="http://schemas.openxmlformats.org/officeDocument/2006/relationships/hyperlink" Target="http://scholar.google.com/scholar_case?case=9747275600152532511&amp;q=Shuster+v.+BAC+Home+Loans+Servicing+LP,+No.+B235890+(Nov.+29,+2012).++&amp;hl=en&amp;as_sdt=2,38&amp;scilh=0" TargetMode="External"/><Relationship Id="rId27" Type="http://schemas.openxmlformats.org/officeDocument/2006/relationships/hyperlink" Target="http://scholar.google.com/scholar_case?case=16470290441785095537&amp;q=Shuster+v.+BAC+Home+Loans+Servicing+LP,+No.+B235890+(Nov.+29,+2012).++&amp;hl=en&amp;as_sdt=2,38&amp;scilh=0" TargetMode="External"/><Relationship Id="rId30" Type="http://schemas.openxmlformats.org/officeDocument/2006/relationships/hyperlink" Target="http://scholar.google.com/scholar_case?case=17419593550907070161&amp;q=Shuster+v.+BAC+Home+Loans+Servicing+LP,+No.+B235890+(Nov.+29,+2012).++&amp;hl=en&amp;as_sdt=2,38&amp;scilh=0"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3627</Words>
  <Characters>20674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Cox</dc:creator>
  <cp:lastModifiedBy>Charles Cox</cp:lastModifiedBy>
  <cp:revision>1</cp:revision>
  <dcterms:created xsi:type="dcterms:W3CDTF">2012-12-10T13:03:00Z</dcterms:created>
  <dcterms:modified xsi:type="dcterms:W3CDTF">2012-12-10T13:04:00Z</dcterms:modified>
</cp:coreProperties>
</file>