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0.8.0.0 -->
  <w:body>
    <w:p>
      <w:pPr>
        <w:spacing w:before="0" w:line="240" w:lineRule="exact"/>
      </w:pPr>
      <w:r>
        <w:rPr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height:0.95pt;margin-left:66.5pt;margin-top:33.5pt;mso-position-horizontal-relative:page;mso-position-vertical-relative:page;position:absolute;width:91.35pt;z-index:-251658240" o:allowincell="f">
            <v:imagedata r:id="rId4" o:title=""/>
            <w10:wrap anchorx="page" anchory="page"/>
          </v:shape>
        </w:pict>
      </w:r>
      <w:r>
        <w:rPr>
          <w:sz w:val="24"/>
          <w:szCs w:val="24"/>
        </w:rPr>
        <w:pict>
          <v:shape id="_x0000_s1026" type="#_x0000_t75" style="height:0.95pt;margin-left:66.5pt;margin-top:34.5pt;mso-position-horizontal-relative:page;mso-position-vertical-relative:page;position:absolute;width:91.35pt;z-index:-251655168" o:allowincell="f">
            <v:imagedata r:id="rId5" o:title=""/>
            <w10:wrap anchorx="page" anchory="page"/>
          </v:shape>
        </w:pict>
      </w:r>
      <w:r>
        <w:rPr>
          <w:sz w:val="24"/>
          <w:szCs w:val="24"/>
        </w:rPr>
        <w:pict>
          <v:shape id="_x0000_s1027" type="#_x0000_t75" style="height:0.95pt;margin-left:66.5pt;margin-top:35.45pt;mso-position-horizontal-relative:page;mso-position-vertical-relative:page;position:absolute;width:91.35pt;z-index:-251652096" o:allowincell="f">
            <v:imagedata r:id="rId6" o:title=""/>
            <w10:wrap anchorx="page" anchory="page"/>
          </v:shape>
        </w:pict>
      </w:r>
      <w:r>
        <w:rPr>
          <w:sz w:val="24"/>
          <w:szCs w:val="24"/>
        </w:rPr>
        <w:pict>
          <v:shape id="_x0000_s1028" type="#_x0000_t75" style="height:0.95pt;margin-left:66.5pt;margin-top:36.4pt;mso-position-horizontal-relative:page;mso-position-vertical-relative:page;position:absolute;width:91.35pt;z-index:-251649024" o:allowincell="f">
            <v:imagedata r:id="rId7" o:title=""/>
            <w10:wrap anchorx="page" anchory="page"/>
          </v:shape>
        </w:pict>
      </w:r>
      <w:r>
        <w:rPr>
          <w:sz w:val="24"/>
          <w:szCs w:val="24"/>
        </w:rPr>
        <w:pict>
          <v:shape id="_x0000_s1029" type="#_x0000_t75" style="height:0.95pt;margin-left:66.5pt;margin-top:37.35pt;mso-position-horizontal-relative:page;mso-position-vertical-relative:page;position:absolute;width:91.35pt;z-index:-251645952" o:allowincell="f">
            <v:imagedata r:id="rId8" o:title=""/>
            <w10:wrap anchorx="page" anchory="page"/>
          </v:shape>
        </w:pict>
      </w:r>
      <w:r>
        <w:rPr>
          <w:sz w:val="24"/>
          <w:szCs w:val="24"/>
        </w:rPr>
        <w:pict>
          <v:shape id="_x0000_s1030" type="#_x0000_t75" style="height:0.95pt;margin-left:66.5pt;margin-top:38.3pt;mso-position-horizontal-relative:page;mso-position-vertical-relative:page;position:absolute;width:91.35pt;z-index:-251643904" o:allowincell="f">
            <v:imagedata r:id="rId9" o:title=""/>
            <w10:wrap anchorx="page" anchory="page"/>
          </v:shape>
        </w:pict>
      </w:r>
      <w:r>
        <w:rPr>
          <w:sz w:val="24"/>
          <w:szCs w:val="24"/>
        </w:rPr>
        <w:pict>
          <v:shape id="_x0000_s1031" type="#_x0000_t75" style="height:0.95pt;margin-left:66.5pt;margin-top:39.3pt;mso-position-horizontal-relative:page;mso-position-vertical-relative:page;position:absolute;width:91.35pt;z-index:-251641856" o:allowincell="f">
            <v:imagedata r:id="rId10" o:title=""/>
            <w10:wrap anchorx="page" anchory="page"/>
          </v:shape>
        </w:pict>
      </w:r>
      <w:r>
        <w:rPr>
          <w:sz w:val="24"/>
          <w:szCs w:val="24"/>
        </w:rPr>
        <w:pict>
          <v:shape id="_x0000_s1032" type="#_x0000_t75" style="height:0.95pt;margin-left:66.5pt;margin-top:40.25pt;mso-position-horizontal-relative:page;mso-position-vertical-relative:page;position:absolute;width:91.35pt;z-index:-251639808" o:allowincell="f">
            <v:imagedata r:id="rId11" o:title=""/>
            <w10:wrap anchorx="page" anchory="page"/>
          </v:shape>
        </w:pict>
      </w:r>
      <w:r>
        <w:rPr>
          <w:sz w:val="24"/>
          <w:szCs w:val="24"/>
        </w:rPr>
        <w:pict>
          <v:shape id="_x0000_s1033" type="#_x0000_t75" style="height:0.95pt;margin-left:66.5pt;margin-top:41.2pt;mso-position-horizontal-relative:page;mso-position-vertical-relative:page;position:absolute;width:91.35pt;z-index:-251637760" o:allowincell="f">
            <v:imagedata r:id="rId12" o:title=""/>
            <w10:wrap anchorx="page" anchory="page"/>
          </v:shape>
        </w:pict>
      </w:r>
      <w:r>
        <w:rPr>
          <w:sz w:val="24"/>
          <w:szCs w:val="24"/>
        </w:rPr>
        <w:pict>
          <v:shape id="_x0000_s1034" type="#_x0000_t75" style="height:0.95pt;margin-left:66.5pt;margin-top:42.15pt;mso-position-horizontal-relative:page;mso-position-vertical-relative:page;position:absolute;width:91.35pt;z-index:-251634688" o:allowincell="f">
            <v:imagedata r:id="rId13" o:title=""/>
            <w10:wrap anchorx="page" anchory="page"/>
          </v:shape>
        </w:pict>
      </w:r>
      <w:r>
        <w:rPr>
          <w:sz w:val="24"/>
          <w:szCs w:val="24"/>
        </w:rPr>
        <w:pict>
          <v:shape id="_x0000_s1035" type="#_x0000_t75" style="height:0.95pt;margin-left:66.5pt;margin-top:43.1pt;mso-position-horizontal-relative:page;mso-position-vertical-relative:page;position:absolute;width:91.35pt;z-index:-251631616" o:allowincell="f">
            <v:imagedata r:id="rId14" o:title=""/>
            <w10:wrap anchorx="page" anchory="page"/>
          </v:shape>
        </w:pict>
      </w:r>
      <w:r>
        <w:rPr>
          <w:sz w:val="24"/>
          <w:szCs w:val="24"/>
        </w:rPr>
        <w:pict>
          <v:shape id="_x0000_s1036" type="#_x0000_t75" style="height:0.95pt;margin-left:66.5pt;margin-top:44.1pt;mso-position-horizontal-relative:page;mso-position-vertical-relative:page;position:absolute;width:91.35pt;z-index:-251628544" o:allowincell="f">
            <v:imagedata r:id="rId15" o:title=""/>
            <w10:wrap anchorx="page" anchory="page"/>
          </v:shape>
        </w:pict>
      </w:r>
      <w:r>
        <w:rPr>
          <w:sz w:val="24"/>
          <w:szCs w:val="24"/>
        </w:rPr>
        <w:pict>
          <v:shape id="_x0000_s1037" type="#_x0000_t75" style="height:0.95pt;margin-left:66.5pt;margin-top:45.05pt;mso-position-horizontal-relative:page;mso-position-vertical-relative:page;position:absolute;width:91.35pt;z-index:-251625472" o:allowincell="f">
            <v:imagedata r:id="rId16" o:title=""/>
            <w10:wrap anchorx="page" anchory="page"/>
          </v:shape>
        </w:pict>
      </w:r>
      <w:r>
        <w:rPr>
          <w:sz w:val="24"/>
          <w:szCs w:val="24"/>
        </w:rPr>
        <w:pict>
          <v:shape id="_x0000_s1038" type="#_x0000_t75" style="height:0.95pt;margin-left:66.5pt;margin-top:46pt;mso-position-horizontal-relative:page;mso-position-vertical-relative:page;position:absolute;width:91.35pt;z-index:-251623424" o:allowincell="f">
            <v:imagedata r:id="rId17" o:title=""/>
            <w10:wrap anchorx="page" anchory="page"/>
          </v:shape>
        </w:pict>
      </w:r>
      <w:r>
        <w:rPr>
          <w:sz w:val="24"/>
          <w:szCs w:val="24"/>
        </w:rPr>
        <w:pict>
          <v:shape id="_x0000_s1039" type="#_x0000_t75" style="height:0.95pt;margin-left:66.5pt;margin-top:46.95pt;mso-position-horizontal-relative:page;mso-position-vertical-relative:page;position:absolute;width:91.35pt;z-index:-251621376" o:allowincell="f">
            <v:imagedata r:id="rId18" o:title=""/>
            <w10:wrap anchorx="page" anchory="page"/>
          </v:shape>
        </w:pict>
      </w:r>
      <w:r>
        <w:rPr>
          <w:sz w:val="24"/>
          <w:szCs w:val="24"/>
        </w:rPr>
        <w:pict>
          <v:shape id="_x0000_s1040" type="#_x0000_t75" style="height:0.95pt;margin-left:66.5pt;margin-top:47.9pt;mso-position-horizontal-relative:page;mso-position-vertical-relative:page;position:absolute;width:91.35pt;z-index:-251619328" o:allowincell="f">
            <v:imagedata r:id="rId19" o:title=""/>
            <w10:wrap anchorx="page" anchory="page"/>
          </v:shape>
        </w:pict>
      </w:r>
      <w:r>
        <w:rPr>
          <w:sz w:val="24"/>
          <w:szCs w:val="24"/>
        </w:rPr>
        <w:pict>
          <v:shape id="_x0000_s1041" type="#_x0000_t75" style="height:0.95pt;margin-left:66.5pt;margin-top:48.9pt;mso-position-horizontal-relative:page;mso-position-vertical-relative:page;position:absolute;width:91.35pt;z-index:-251617280" o:allowincell="f">
            <v:imagedata r:id="rId20" o:title=""/>
            <w10:wrap anchorx="page" anchory="page"/>
          </v:shape>
        </w:pict>
      </w:r>
      <w:r>
        <w:rPr>
          <w:sz w:val="24"/>
          <w:szCs w:val="24"/>
        </w:rPr>
        <w:pict>
          <v:shape id="_x0000_s1042" type="#_x0000_t75" style="height:0.95pt;margin-left:66.5pt;margin-top:49.85pt;mso-position-horizontal-relative:page;mso-position-vertical-relative:page;position:absolute;width:91.35pt;z-index:-251615232" o:allowincell="f">
            <v:imagedata r:id="rId21" o:title=""/>
            <w10:wrap anchorx="page" anchory="page"/>
          </v:shape>
        </w:pict>
      </w:r>
      <w:r>
        <w:rPr>
          <w:sz w:val="24"/>
          <w:szCs w:val="24"/>
        </w:rPr>
        <w:pict>
          <v:shape id="_x0000_s1043" type="#_x0000_t75" style="height:0.95pt;margin-left:66.5pt;margin-top:50.8pt;mso-position-horizontal-relative:page;mso-position-vertical-relative:page;position:absolute;width:91.35pt;z-index:-251613184" o:allowincell="f">
            <v:imagedata r:id="rId22" o:title=""/>
            <w10:wrap anchorx="page" anchory="page"/>
          </v:shape>
        </w:pict>
      </w:r>
      <w:r>
        <w:rPr>
          <w:sz w:val="24"/>
          <w:szCs w:val="24"/>
        </w:rPr>
        <w:pict>
          <v:shape id="_x0000_s1044" type="#_x0000_t75" style="height:0.75pt;margin-left:66.5pt;margin-top:51.75pt;mso-position-horizontal-relative:page;mso-position-vertical-relative:page;position:absolute;width:91.35pt;z-index:-251611136" o:allowincell="f">
            <v:imagedata r:id="rId23" o:title=""/>
            <w10:wrap anchorx="page" anchory="page"/>
          </v:shape>
        </w:pict>
      </w:r>
      <w:r>
        <w:rPr>
          <w:sz w:val="24"/>
          <w:szCs w:val="24"/>
        </w:rPr>
        <w:pict>
          <v:shape id="_x0000_s1045" type="#_x0000_t75" style="height:17.2pt;margin-left:85.45pt;margin-top:713.25pt;mso-position-horizontal-relative:page;mso-position-vertical-relative:page;position:absolute;width:86.2pt;z-index:-251609088" o:allowincell="f">
            <v:imagedata r:id="rId24" o:title=""/>
            <w10:wrap anchorx="page" anchory="page"/>
          </v:shape>
        </w:pict>
      </w:r>
      <w:r>
        <w:rPr>
          <w:sz w:val="24"/>
          <w:szCs w:val="24"/>
        </w:rPr>
        <w:pict>
          <v:shape id="_x0000_s1046" type="#_x0000_t75" style="height:2.95pt;margin-left:85.45pt;margin-top:730.5pt;mso-position-horizontal-relative:page;mso-position-vertical-relative:page;position:absolute;width:86.2pt;z-index:-251608064" o:allowincell="f">
            <v:imagedata r:id="rId25" o:title=""/>
            <w10:wrap anchorx="page" anchory="page"/>
          </v:shape>
        </w:pict>
      </w:r>
      <w:bookmarkStart w:id="0" w:name="Pg1"/>
      <w:bookmarkEnd w:id="0"/>
    </w:p>
    <w:p>
      <w:pPr>
        <w:spacing w:before="0" w:line="230" w:lineRule="exact"/>
        <w:ind w:left="898"/>
        <w:jc w:val="left"/>
      </w:pPr>
    </w:p>
    <w:p>
      <w:pPr>
        <w:spacing w:before="0" w:line="230" w:lineRule="exact"/>
        <w:ind w:left="898"/>
        <w:jc w:val="left"/>
      </w:pPr>
    </w:p>
    <w:p>
      <w:pPr>
        <w:spacing w:before="0" w:line="230" w:lineRule="exact"/>
        <w:ind w:left="898"/>
        <w:jc w:val="left"/>
      </w:pPr>
    </w:p>
    <w:p>
      <w:pPr>
        <w:spacing w:before="0" w:line="230" w:lineRule="exact"/>
        <w:ind w:left="898"/>
        <w:jc w:val="left"/>
      </w:pPr>
    </w:p>
    <w:p>
      <w:pPr>
        <w:spacing w:before="57" w:line="230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>User Name:</w: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 xml:space="preserve">  Charles Cox </w:t>
      </w:r>
    </w:p>
    <w:p>
      <w:pPr>
        <w:spacing w:before="0" w:line="220" w:lineRule="exact"/>
        <w:ind w:left="898" w:right="6587"/>
        <w:jc w:val="both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Date and Time:</w:t>
      </w: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 xml:space="preserve">  03/30/2013 12:27 PM EDT </w:t>
      </w:r>
      <w:r>
        <w:rPr>
          <w:rFonts w:ascii="Times New Roman Bold" w:hAnsi="Times New Roman Bold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Job Number:</w:t>
      </w: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 xml:space="preserve">  2452912 </w:t>
      </w:r>
    </w:p>
    <w:p>
      <w:pPr>
        <w:spacing w:before="12" w:line="229" w:lineRule="exact"/>
        <w:ind w:left="5023"/>
        <w:jc w:val="left"/>
        <w:rPr>
          <w:rFonts w:ascii="Times New Roman Bold" w:hAnsi="Times New Roman Bold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Document(1) </w:t>
      </w:r>
    </w:p>
    <w:p>
      <w:pPr>
        <w:spacing w:before="0" w:line="230" w:lineRule="exact"/>
        <w:ind w:left="898"/>
        <w:rPr>
          <w:rFonts w:ascii="Times New Roman Bold" w:hAnsi="Times New Roman Bold"/>
          <w:color w:val="000000"/>
          <w:spacing w:val="-3"/>
          <w:w w:val="100"/>
          <w:position w:val="0"/>
          <w:u w:val="none"/>
          <w:vertAlign w:val="baseline"/>
        </w:rPr>
      </w:pPr>
    </w:p>
    <w:p>
      <w:pPr>
        <w:tabs>
          <w:tab w:val="left" w:pos="1274"/>
        </w:tabs>
        <w:spacing w:before="11" w:line="230" w:lineRule="exact"/>
        <w:ind w:left="898" w:firstLine="0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>1.</w:t>
        <w:tab/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>Intenganv.BAC Home Loans Servicing LP, 2013 Cal. App. LEXIS 225</w:t>
      </w:r>
    </w:p>
    <w:p>
      <w:pPr>
        <w:spacing w:before="164" w:line="230" w:lineRule="exact"/>
        <w:ind w:left="898" w:firstLine="389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>Client/matter:</w: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 xml:space="preserve">  Cox</w:t>
      </w: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spacing w:before="0" w:line="360" w:lineRule="exact"/>
        <w:ind w:left="3002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tabs>
          <w:tab w:val="left" w:pos="5183"/>
        </w:tabs>
        <w:spacing w:before="39" w:line="360" w:lineRule="exact"/>
        <w:ind w:left="3002" w:right="1090"/>
        <w:jc w:val="left"/>
        <w:rPr>
          <w:rFonts w:ascii="Times New Roman" w:hAnsi="Times New Roman"/>
          <w:color w:val="000000"/>
          <w:spacing w:val="-2"/>
          <w:w w:val="100"/>
          <w:position w:val="0"/>
          <w:sz w:val="20"/>
          <w:u w:val="none"/>
          <w:vertAlign w:val="baseline"/>
        </w:rPr>
      </w:pPr>
      <w:r>
        <w:rPr>
          <w:rFonts w:ascii="Verdana" w:hAnsi="Verdana"/>
          <w:color w:val="565656"/>
          <w:spacing w:val="-2"/>
          <w:w w:val="100"/>
          <w:position w:val="0"/>
          <w:sz w:val="16"/>
          <w:szCs w:val="24"/>
          <w:u w:val="none"/>
          <w:vertAlign w:val="baseline"/>
        </w:rPr>
        <w:t>|</w:t>
      </w:r>
      <w:r>
        <w:rPr>
          <w:rFonts w:ascii="Verdana" w:hAnsi="Verdana"/>
          <w:color w:val="0000FF"/>
          <w:spacing w:val="-2"/>
          <w:w w:val="100"/>
          <w:position w:val="0"/>
          <w:sz w:val="16"/>
          <w:szCs w:val="24"/>
          <w:u w:val="none"/>
          <w:vertAlign w:val="baseline"/>
        </w:rPr>
        <w:t xml:space="preserve"> </w:t>
      </w:r>
      <w:r>
        <w:rPr>
          <w:rFonts w:ascii="Verdana" w:hAnsi="Verdana"/>
          <w:color w:val="0000FF"/>
          <w:spacing w:val="-2"/>
          <w:w w:val="100"/>
          <w:position w:val="0"/>
          <w:sz w:val="16"/>
          <w:szCs w:val="24"/>
          <w:u w:val="single"/>
          <w:vertAlign w:val="baseline"/>
        </w:rPr>
        <w:t xml:space="preserve"> About LexisNexis</w:t>
      </w:r>
      <w:r>
        <w:rPr>
          <w:rFonts w:ascii="Verdana" w:hAnsi="Verdana"/>
          <w:color w:val="565656"/>
          <w:spacing w:val="-2"/>
          <w:w w:val="100"/>
          <w:position w:val="0"/>
          <w:sz w:val="16"/>
          <w:szCs w:val="24"/>
          <w:u w:val="none"/>
          <w:vertAlign w:val="baseline"/>
        </w:rPr>
        <w:t xml:space="preserve"> |</w:t>
      </w:r>
      <w:r>
        <w:rPr>
          <w:rFonts w:ascii="Verdana" w:hAnsi="Verdana"/>
          <w:color w:val="0000FF"/>
          <w:spacing w:val="-2"/>
          <w:w w:val="100"/>
          <w:position w:val="0"/>
          <w:sz w:val="16"/>
          <w:szCs w:val="24"/>
          <w:u w:val="none"/>
          <w:vertAlign w:val="baseline"/>
        </w:rPr>
        <w:t xml:space="preserve"> </w:t>
      </w:r>
      <w:r>
        <w:rPr>
          <w:rFonts w:ascii="Verdana" w:hAnsi="Verdana"/>
          <w:color w:val="0000FF"/>
          <w:spacing w:val="-2"/>
          <w:w w:val="100"/>
          <w:position w:val="0"/>
          <w:sz w:val="16"/>
          <w:szCs w:val="24"/>
          <w:u w:val="single"/>
          <w:vertAlign w:val="baseline"/>
        </w:rPr>
        <w:t xml:space="preserve"> Privacy Policy</w:t>
      </w:r>
      <w:r>
        <w:rPr>
          <w:rFonts w:ascii="Verdana" w:hAnsi="Verdana"/>
          <w:color w:val="565656"/>
          <w:spacing w:val="-2"/>
          <w:w w:val="100"/>
          <w:position w:val="0"/>
          <w:sz w:val="16"/>
          <w:szCs w:val="24"/>
          <w:u w:val="none"/>
          <w:vertAlign w:val="baseline"/>
        </w:rPr>
        <w:t xml:space="preserve"> |</w:t>
      </w:r>
      <w:r>
        <w:rPr>
          <w:rFonts w:ascii="Verdana" w:hAnsi="Verdana"/>
          <w:color w:val="0000FF"/>
          <w:spacing w:val="-2"/>
          <w:w w:val="100"/>
          <w:position w:val="0"/>
          <w:sz w:val="16"/>
          <w:szCs w:val="24"/>
          <w:u w:val="none"/>
          <w:vertAlign w:val="baseline"/>
        </w:rPr>
        <w:t xml:space="preserve"> </w:t>
      </w:r>
      <w:r>
        <w:rPr>
          <w:rFonts w:ascii="Verdana" w:hAnsi="Verdana"/>
          <w:color w:val="0000FF"/>
          <w:spacing w:val="-2"/>
          <w:w w:val="100"/>
          <w:position w:val="0"/>
          <w:sz w:val="16"/>
          <w:szCs w:val="24"/>
          <w:u w:val="single"/>
          <w:vertAlign w:val="baseline"/>
        </w:rPr>
        <w:t xml:space="preserve"> Terms &amp; Conditions</w:t>
      </w:r>
      <w:r>
        <w:rPr>
          <w:rFonts w:ascii="Verdana" w:hAnsi="Verdana"/>
          <w:color w:val="565656"/>
          <w:spacing w:val="-2"/>
          <w:w w:val="100"/>
          <w:position w:val="0"/>
          <w:sz w:val="16"/>
          <w:szCs w:val="24"/>
          <w:u w:val="none"/>
          <w:vertAlign w:val="baseline"/>
        </w:rPr>
        <w:t xml:space="preserve"> |</w:t>
      </w:r>
      <w:r>
        <w:rPr>
          <w:rFonts w:ascii="Verdana" w:hAnsi="Verdana"/>
          <w:color w:val="0000FF"/>
          <w:spacing w:val="-2"/>
          <w:w w:val="100"/>
          <w:position w:val="0"/>
          <w:sz w:val="16"/>
          <w:szCs w:val="24"/>
          <w:u w:val="none"/>
          <w:vertAlign w:val="baseline"/>
        </w:rPr>
        <w:t xml:space="preserve"> </w:t>
      </w:r>
      <w:r>
        <w:rPr>
          <w:rFonts w:ascii="Verdana" w:hAnsi="Verdana"/>
          <w:color w:val="0000FF"/>
          <w:spacing w:val="-2"/>
          <w:w w:val="100"/>
          <w:position w:val="0"/>
          <w:sz w:val="16"/>
          <w:szCs w:val="24"/>
          <w:u w:val="single"/>
          <w:vertAlign w:val="baseline"/>
        </w:rPr>
        <w:t xml:space="preserve"> Copyright ©</w:t>
      </w:r>
      <w:r>
        <w:rPr>
          <w:rFonts w:ascii="Verdana" w:hAnsi="Verdana"/>
          <w:color w:val="000000"/>
          <w:spacing w:val="-2"/>
          <w:w w:val="100"/>
          <w:position w:val="0"/>
          <w:sz w:val="16"/>
          <w:szCs w:val="24"/>
          <w:u w:val="none"/>
          <w:vertAlign w:val="baseline"/>
        </w:rPr>
        <w:t xml:space="preserve"> 2013</w:t>
      </w:r>
      <w:r>
        <w:rPr>
          <w:rFonts w:ascii="Verdana" w:hAnsi="Verdana"/>
          <w:color w:val="0000FF"/>
          <w:spacing w:val="-2"/>
          <w:w w:val="100"/>
          <w:position w:val="0"/>
          <w:sz w:val="16"/>
          <w:szCs w:val="24"/>
          <w:u w:val="none"/>
          <w:vertAlign w:val="baseline"/>
        </w:rPr>
        <w:t xml:space="preserve"> </w:t>
      </w:r>
      <w:r>
        <w:rPr>
          <w:rFonts w:ascii="Verdana" w:hAnsi="Verdana"/>
          <w:color w:val="0000FF"/>
          <w:spacing w:val="-2"/>
          <w:w w:val="100"/>
          <w:position w:val="0"/>
          <w:sz w:val="16"/>
          <w:szCs w:val="24"/>
          <w:u w:val="single"/>
          <w:vertAlign w:val="baseline"/>
        </w:rPr>
        <w:t xml:space="preserve"> LexisNexis. </w:t>
        <w:br/>
      </w:r>
      <w:r>
        <w:rPr>
          <w:rFonts w:ascii="Verdana" w:hAnsi="Verdana"/>
          <w:color w:val="0000FF"/>
          <w:spacing w:val="-2"/>
          <w:w w:val="100"/>
          <w:position w:val="0"/>
          <w:sz w:val="16"/>
          <w:szCs w:val="24"/>
          <w:u w:val="none"/>
          <w:vertAlign w:val="baseline"/>
        </w:rPr>
        <w:tab/>
      </w:r>
      <w:r>
        <w:rPr>
          <w:rFonts w:ascii="Times New Roman" w:hAnsi="Times New Roman"/>
          <w:color w:val="000000"/>
          <w:spacing w:val="-2"/>
          <w:w w:val="100"/>
          <w:position w:val="0"/>
          <w:sz w:val="20"/>
          <w:szCs w:val="24"/>
          <w:u w:val="none"/>
          <w:vertAlign w:val="baseline"/>
        </w:rPr>
        <w:t xml:space="preserve">Charles Cox </w:t>
      </w:r>
    </w:p>
    <w:p>
      <w:pPr>
        <w:rPr>
          <w:rFonts w:ascii="Times New Roman" w:hAnsi="Times New Roman"/>
          <w:color w:val="000000"/>
          <w:spacing w:val="-2"/>
          <w:w w:val="100"/>
          <w:position w:val="0"/>
          <w:sz w:val="20"/>
          <w:u w:val="none"/>
          <w:vertAlign w:val="baseline"/>
        </w:rPr>
        <w:sectPr>
          <w:pgSz w:w="12220" w:h="15820"/>
          <w:pgMar w:top="431" w:right="431" w:bottom="431" w:left="431" w:header="720" w:footer="720"/>
          <w:cols w:space="720"/>
        </w:sectPr>
      </w:pPr>
    </w:p>
    <w:p>
      <w:pPr>
        <w:spacing w:before="0" w:line="240" w:lineRule="exact"/>
        <w:rPr>
          <w:rFonts w:ascii="Times New Roman" w:hAnsi="Times New Roman"/>
          <w:color w:val="000000"/>
          <w:spacing w:val="-2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pict>
          <v:shape id="_x0000_s1047" type="#_x0000_t75" style="height:0.95pt;margin-left:66.5pt;margin-top:50.75pt;mso-position-horizontal-relative:page;mso-position-vertical-relative:page;position:absolute;width:91.35pt;z-index:-251657216" o:allowincell="f">
            <v:imagedata r:id="rId4" o:title=""/>
            <w10:wrap anchorx="page" anchory="page"/>
          </v:shape>
        </w:pic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pict>
          <v:shape id="_x0000_s1048" type="#_x0000_t75" style="height:0.95pt;margin-left:66.5pt;margin-top:51.7pt;mso-position-horizontal-relative:page;mso-position-vertical-relative:page;position:absolute;width:91.35pt;z-index:-251654144" o:allowincell="f">
            <v:imagedata r:id="rId5" o:title=""/>
            <w10:wrap anchorx="page" anchory="page"/>
          </v:shape>
        </w:pic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pict>
          <v:shape id="_x0000_s1049" type="#_x0000_t75" style="height:0.95pt;margin-left:66.5pt;margin-top:52.65pt;mso-position-horizontal-relative:page;mso-position-vertical-relative:page;position:absolute;width:91.35pt;z-index:-251651072" o:allowincell="f">
            <v:imagedata r:id="rId6" o:title=""/>
            <w10:wrap anchorx="page" anchory="page"/>
          </v:shape>
        </w:pic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pict>
          <v:shape id="_x0000_s1050" type="#_x0000_t75" style="height:0.95pt;margin-left:66.5pt;margin-top:53.6pt;mso-position-horizontal-relative:page;mso-position-vertical-relative:page;position:absolute;width:91.35pt;z-index:-251648000" o:allowincell="f">
            <v:imagedata r:id="rId7" o:title=""/>
            <w10:wrap anchorx="page" anchory="page"/>
          </v:shape>
        </w:pic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pict>
          <v:shape id="_x0000_s1051" type="#_x0000_t75" style="height:0.95pt;margin-left:66.5pt;margin-top:54.6pt;mso-position-horizontal-relative:page;mso-position-vertical-relative:page;position:absolute;width:91.35pt;z-index:-251644928" o:allowincell="f">
            <v:imagedata r:id="rId8" o:title=""/>
            <w10:wrap anchorx="page" anchory="page"/>
          </v:shape>
        </w:pic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pict>
          <v:shape id="_x0000_s1052" type="#_x0000_t75" style="height:0.95pt;margin-left:66.5pt;margin-top:55.55pt;mso-position-horizontal-relative:page;mso-position-vertical-relative:page;position:absolute;width:91.35pt;z-index:-251642880" o:allowincell="f">
            <v:imagedata r:id="rId9" o:title=""/>
            <w10:wrap anchorx="page" anchory="page"/>
          </v:shape>
        </w:pic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pict>
          <v:shape id="_x0000_s1053" type="#_x0000_t75" style="height:0.95pt;margin-left:66.5pt;margin-top:56.5pt;mso-position-horizontal-relative:page;mso-position-vertical-relative:page;position:absolute;width:91.35pt;z-index:-251640832" o:allowincell="f">
            <v:imagedata r:id="rId10" o:title=""/>
            <w10:wrap anchorx="page" anchory="page"/>
          </v:shape>
        </w:pic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pict>
          <v:shape id="_x0000_s1054" type="#_x0000_t75" style="height:0.95pt;margin-left:66.5pt;margin-top:57.45pt;mso-position-horizontal-relative:page;mso-position-vertical-relative:page;position:absolute;width:91.35pt;z-index:-251638784" o:allowincell="f">
            <v:imagedata r:id="rId11" o:title=""/>
            <w10:wrap anchorx="page" anchory="page"/>
          </v:shape>
        </w:pic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pict>
          <v:shape id="_x0000_s1055" type="#_x0000_t75" style="height:0.95pt;margin-left:66.5pt;margin-top:58.4pt;mso-position-horizontal-relative:page;mso-position-vertical-relative:page;position:absolute;width:91.35pt;z-index:-251636736" o:allowincell="f">
            <v:imagedata r:id="rId12" o:title=""/>
            <w10:wrap anchorx="page" anchory="page"/>
          </v:shape>
        </w:pic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pict>
          <v:shape id="_x0000_s1056" type="#_x0000_t75" style="height:0.95pt;margin-left:66.5pt;margin-top:59.4pt;mso-position-horizontal-relative:page;mso-position-vertical-relative:page;position:absolute;width:91.35pt;z-index:-251633664" o:allowincell="f">
            <v:imagedata r:id="rId13" o:title=""/>
            <w10:wrap anchorx="page" anchory="page"/>
          </v:shape>
        </w:pic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pict>
          <v:shape id="_x0000_s1057" type="#_x0000_t75" style="height:0.95pt;margin-left:66.5pt;margin-top:60.35pt;mso-position-horizontal-relative:page;mso-position-vertical-relative:page;position:absolute;width:91.35pt;z-index:-251630592" o:allowincell="f">
            <v:imagedata r:id="rId14" o:title=""/>
            <w10:wrap anchorx="page" anchory="page"/>
          </v:shape>
        </w:pic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pict>
          <v:shape id="_x0000_s1058" type="#_x0000_t75" style="height:0.95pt;margin-left:66.5pt;margin-top:61.3pt;mso-position-horizontal-relative:page;mso-position-vertical-relative:page;position:absolute;width:91.35pt;z-index:-251627520" o:allowincell="f">
            <v:imagedata r:id="rId15" o:title=""/>
            <w10:wrap anchorx="page" anchory="page"/>
          </v:shape>
        </w:pic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pict>
          <v:shape id="_x0000_s1059" type="#_x0000_t75" style="height:0.95pt;margin-left:66.5pt;margin-top:62.25pt;mso-position-horizontal-relative:page;mso-position-vertical-relative:page;position:absolute;width:91.35pt;z-index:-251624448" o:allowincell="f">
            <v:imagedata r:id="rId16" o:title=""/>
            <w10:wrap anchorx="page" anchory="page"/>
          </v:shape>
        </w:pic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pict>
          <v:shape id="_x0000_s1060" type="#_x0000_t75" style="height:0.95pt;margin-left:66.5pt;margin-top:63.2pt;mso-position-horizontal-relative:page;mso-position-vertical-relative:page;position:absolute;width:91.35pt;z-index:-251622400" o:allowincell="f">
            <v:imagedata r:id="rId17" o:title=""/>
            <w10:wrap anchorx="page" anchory="page"/>
          </v:shape>
        </w:pic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pict>
          <v:shape id="_x0000_s1061" type="#_x0000_t75" style="height:0.95pt;margin-left:66.5pt;margin-top:64.2pt;mso-position-horizontal-relative:page;mso-position-vertical-relative:page;position:absolute;width:91.35pt;z-index:-251620352" o:allowincell="f">
            <v:imagedata r:id="rId18" o:title=""/>
            <w10:wrap anchorx="page" anchory="page"/>
          </v:shape>
        </w:pic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pict>
          <v:shape id="_x0000_s1062" type="#_x0000_t75" style="height:0.95pt;margin-left:66.5pt;margin-top:65.15pt;mso-position-horizontal-relative:page;mso-position-vertical-relative:page;position:absolute;width:91.35pt;z-index:-251618304" o:allowincell="f">
            <v:imagedata r:id="rId19" o:title=""/>
            <w10:wrap anchorx="page" anchory="page"/>
          </v:shape>
        </w:pic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pict>
          <v:shape id="_x0000_s1063" type="#_x0000_t75" style="height:0.95pt;margin-left:66.5pt;margin-top:66.1pt;mso-position-horizontal-relative:page;mso-position-vertical-relative:page;position:absolute;width:91.35pt;z-index:-251616256" o:allowincell="f">
            <v:imagedata r:id="rId20" o:title=""/>
            <w10:wrap anchorx="page" anchory="page"/>
          </v:shape>
        </w:pic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pict>
          <v:shape id="_x0000_s1064" type="#_x0000_t75" style="height:0.95pt;margin-left:66.5pt;margin-top:67.05pt;mso-position-horizontal-relative:page;mso-position-vertical-relative:page;position:absolute;width:91.35pt;z-index:-251614208" o:allowincell="f">
            <v:imagedata r:id="rId21" o:title=""/>
            <w10:wrap anchorx="page" anchory="page"/>
          </v:shape>
        </w:pic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pict>
          <v:shape id="_x0000_s1065" type="#_x0000_t75" style="height:0.95pt;margin-left:66.5pt;margin-top:68pt;mso-position-horizontal-relative:page;mso-position-vertical-relative:page;position:absolute;width:91.35pt;z-index:-251612160" o:allowincell="f">
            <v:imagedata r:id="rId22" o:title=""/>
            <w10:wrap anchorx="page" anchory="page"/>
          </v:shape>
        </w:pic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pict>
          <v:shape id="_x0000_s1066" type="#_x0000_t75" style="height:0.75pt;margin-left:66.5pt;margin-top:69pt;mso-position-horizontal-relative:page;mso-position-vertical-relative:page;position:absolute;width:91.35pt;z-index:-251610112" o:allowincell="f">
            <v:imagedata r:id="rId23" o:title=""/>
            <w10:wrap anchorx="page" anchory="page"/>
          </v:shape>
        </w:pict>
      </w:r>
      <w:bookmarkStart w:id="1" w:name="Pg2"/>
      <w:bookmarkEnd w:id="1"/>
    </w:p>
    <w:p>
      <w:pPr>
        <w:spacing w:before="0" w:line="276" w:lineRule="exact"/>
        <w:ind w:left="898"/>
        <w:jc w:val="left"/>
        <w:rPr>
          <w:rFonts w:ascii="Times New Roman" w:hAnsi="Times New Roman"/>
          <w:color w:val="000000"/>
          <w:spacing w:val="-2"/>
          <w:w w:val="100"/>
          <w:position w:val="0"/>
          <w:u w:val="none"/>
          <w:vertAlign w:val="baseline"/>
        </w:rPr>
      </w:pPr>
    </w:p>
    <w:p>
      <w:pPr>
        <w:spacing w:before="0" w:line="276" w:lineRule="exact"/>
        <w:ind w:left="898"/>
        <w:jc w:val="left"/>
        <w:rPr>
          <w:rFonts w:ascii="Times New Roman" w:hAnsi="Times New Roman"/>
          <w:color w:val="000000"/>
          <w:spacing w:val="-2"/>
          <w:w w:val="100"/>
          <w:position w:val="0"/>
          <w:u w:val="none"/>
          <w:vertAlign w:val="baseline"/>
        </w:rPr>
      </w:pPr>
    </w:p>
    <w:p>
      <w:pPr>
        <w:spacing w:before="207" w:line="276" w:lineRule="exact"/>
        <w:ind w:left="898"/>
        <w:jc w:val="left"/>
        <w:rPr>
          <w:rFonts w:ascii="Times New Roman Italic" w:hAnsi="Times New Roman Italic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No</w:t>
      </w:r>
      <w:r>
        <w:rPr>
          <w:rFonts w:ascii="Times New Roman Italic" w:hAnsi="Times New Roman Italic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 Shepard’s Signal™ </w:t>
      </w:r>
    </w:p>
    <w:p>
      <w:pPr>
        <w:spacing w:before="1" w:line="232" w:lineRule="exact"/>
        <w:ind w:left="898"/>
        <w:jc w:val="left"/>
        <w:rPr>
          <w:rFonts w:ascii="Times New Roman Italic" w:hAnsi="Times New Roman Italic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 Italic" w:hAnsi="Times New Roman Italic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As of: March 30, 2013 12:27 PM EDT </w:t>
      </w:r>
    </w:p>
    <w:p>
      <w:pPr>
        <w:spacing w:before="0" w:line="299" w:lineRule="exact"/>
        <w:ind w:left="3299"/>
        <w:jc w:val="left"/>
        <w:rPr>
          <w:rFonts w:ascii="Times New Roman Italic" w:hAnsi="Times New Roman Italic"/>
          <w:color w:val="000000"/>
          <w:spacing w:val="0"/>
          <w:w w:val="101"/>
          <w:position w:val="0"/>
          <w:u w:val="none"/>
          <w:vertAlign w:val="baseline"/>
        </w:rPr>
      </w:pPr>
    </w:p>
    <w:p>
      <w:pPr>
        <w:spacing w:before="274" w:line="299" w:lineRule="exact"/>
        <w:ind w:left="3299"/>
        <w:jc w:val="left"/>
        <w:rPr>
          <w:rFonts w:ascii="Times New Roman Bold" w:hAnsi="Times New Roman Bold"/>
          <w:color w:val="000000"/>
          <w:spacing w:val="-2"/>
          <w:w w:val="100"/>
          <w:position w:val="0"/>
          <w:sz w:val="26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-2"/>
          <w:w w:val="100"/>
          <w:position w:val="0"/>
          <w:sz w:val="26"/>
          <w:szCs w:val="24"/>
          <w:u w:val="none"/>
          <w:vertAlign w:val="baseline"/>
        </w:rPr>
        <w:t xml:space="preserve">Intenganv.BAC Home Loans Servicing LP </w:t>
      </w:r>
    </w:p>
    <w:p>
      <w:pPr>
        <w:tabs>
          <w:tab w:val="left" w:pos="4158"/>
        </w:tabs>
        <w:spacing w:before="157" w:line="280" w:lineRule="exact"/>
        <w:ind w:left="2309" w:right="20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Court of Appeal of California, First Appellate District, Division Five </w:t>
        <w:br/>
        <w:tab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March 22, 2013, Opinion Filed </w:t>
      </w:r>
    </w:p>
    <w:p>
      <w:pPr>
        <w:spacing w:before="4" w:line="276" w:lineRule="exact"/>
        <w:ind w:left="5248"/>
        <w:jc w:val="left"/>
        <w:rPr>
          <w:rFonts w:ascii="Times New Roman Bold Italic" w:hAnsi="Times New Roman Bold Italic"/>
          <w:color w:val="000000"/>
          <w:spacing w:val="-3"/>
          <w:w w:val="100"/>
          <w:position w:val="0"/>
          <w:u w:val="single"/>
          <w:vertAlign w:val="baseline"/>
        </w:rPr>
      </w:pPr>
      <w:r>
        <w:rPr>
          <w:rFonts w:ascii="Times New Roman Bold Italic" w:hAnsi="Times New Roman Bold Italic"/>
          <w:color w:val="000000"/>
          <w:spacing w:val="-3"/>
          <w:w w:val="100"/>
          <w:position w:val="0"/>
          <w:sz w:val="24"/>
          <w:szCs w:val="24"/>
          <w:u w:val="single"/>
          <w:vertAlign w:val="baseline"/>
        </w:rPr>
        <w:t xml:space="preserve"> A135782</w:t>
      </w:r>
    </w:p>
    <w:p>
      <w:pPr>
        <w:rPr>
          <w:rFonts w:ascii="Times New Roman Bold Italic" w:hAnsi="Times New Roman Bold Italic"/>
          <w:color w:val="000000"/>
          <w:spacing w:val="-3"/>
          <w:w w:val="100"/>
          <w:position w:val="0"/>
          <w:u w:val="single"/>
          <w:vertAlign w:val="baseline"/>
        </w:rPr>
        <w:sectPr>
          <w:pgSz w:w="12220" w:h="15820"/>
          <w:pgMar w:top="431" w:right="431" w:bottom="431" w:left="431" w:header="720" w:footer="720"/>
          <w:cols w:space="720"/>
        </w:sectPr>
      </w:pPr>
    </w:p>
    <w:p>
      <w:pPr>
        <w:spacing w:before="0" w:line="276" w:lineRule="exact"/>
        <w:ind w:left="898"/>
        <w:jc w:val="left"/>
        <w:rPr>
          <w:rFonts w:ascii="Times New Roman Bold Italic" w:hAnsi="Times New Roman Bold Italic"/>
          <w:color w:val="000000"/>
          <w:spacing w:val="-3"/>
          <w:w w:val="100"/>
          <w:position w:val="0"/>
          <w:u w:val="single"/>
          <w:vertAlign w:val="baseline"/>
        </w:rPr>
      </w:pPr>
    </w:p>
    <w:p>
      <w:pPr>
        <w:spacing w:before="10" w:line="276" w:lineRule="exact"/>
        <w:ind w:left="898"/>
        <w:jc w:val="left"/>
        <w:rPr>
          <w:rFonts w:ascii="Times New Roman" w:hAnsi="Times New Roman"/>
          <w:color w:val="000000"/>
          <w:spacing w:val="-2"/>
          <w:w w:val="100"/>
          <w:position w:val="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Reporter:</w: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 2013 Cal. App. LEXIS 225; 2013 WL</w:t>
      </w:r>
    </w:p>
    <w:p>
      <w:pPr>
        <w:spacing w:before="0" w:line="259" w:lineRule="exact"/>
        <w:ind w:left="898"/>
        <w:jc w:val="both"/>
        <w:rPr>
          <w:rFonts w:ascii="Times New Roman" w:hAnsi="Times New Roman"/>
          <w:color w:val="000000"/>
          <w:spacing w:val="-2"/>
          <w:w w:val="100"/>
          <w:position w:val="0"/>
          <w:u w:val="none"/>
          <w:vertAlign w:val="baseline"/>
        </w:rPr>
      </w:pPr>
    </w:p>
    <w:p>
      <w:pPr>
        <w:spacing w:before="0" w:line="259" w:lineRule="exact"/>
        <w:ind w:left="898"/>
        <w:jc w:val="both"/>
        <w:rPr>
          <w:rFonts w:ascii="Times New Roman" w:hAnsi="Times New Roman"/>
          <w:color w:val="000000"/>
          <w:spacing w:val="-2"/>
          <w:w w:val="100"/>
          <w:position w:val="0"/>
          <w:u w:val="none"/>
          <w:vertAlign w:val="baseline"/>
        </w:rPr>
      </w:pPr>
    </w:p>
    <w:p>
      <w:pPr>
        <w:spacing w:before="139" w:line="259" w:lineRule="exact"/>
        <w:ind w:left="898" w:right="0"/>
        <w:jc w:val="both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ARDEN M. INTENGAN, Plaintiff and Appel-</w:t>
        <w:br/>
      </w:r>
      <w:r>
        <w:rPr>
          <w:rFonts w:ascii="Times New Roman" w:hAnsi="Times New Roman"/>
          <w:color w:val="000000"/>
          <w:spacing w:val="-5"/>
          <w:w w:val="100"/>
          <w:position w:val="0"/>
          <w:sz w:val="24"/>
          <w:szCs w:val="24"/>
          <w:u w:val="none"/>
          <w:vertAlign w:val="baseline"/>
        </w:rPr>
        <w:t xml:space="preserve">lant, v. BAC HOME LOANS SERVICING LP et 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al., Defendants and Respondents.</w:t>
      </w:r>
    </w:p>
    <w:p>
      <w:pPr>
        <w:spacing w:before="0" w:line="259" w:lineRule="exact"/>
        <w:ind w:left="898"/>
        <w:jc w:val="both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1" w:line="259" w:lineRule="exact"/>
        <w:ind w:left="898" w:right="197"/>
        <w:jc w:val="both"/>
        <w:rPr>
          <w:rFonts w:ascii="Times New Roman" w:hAnsi="Times New Roman"/>
          <w:color w:val="000000"/>
          <w:spacing w:val="-6"/>
          <w:w w:val="100"/>
          <w:position w:val="0"/>
          <w:u w:val="none"/>
          <w:vertAlign w:val="superscript"/>
        </w:rPr>
      </w:pPr>
      <w:r>
        <w:rPr>
          <w:rFonts w:ascii="Times New Roman Bold" w:hAnsi="Times New Roman Bold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Notice:</w:t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 CERTIFIED FOR PARTIAL PUBLI-</w:t>
        <w:br/>
      </w:r>
      <w:r>
        <w:rPr>
          <w:rFonts w:ascii="Times New Roman" w:hAnsi="Times New Roman"/>
          <w:color w:val="000000"/>
          <w:spacing w:val="-6"/>
          <w:w w:val="100"/>
          <w:position w:val="0"/>
          <w:sz w:val="24"/>
          <w:szCs w:val="24"/>
          <w:u w:val="none"/>
          <w:vertAlign w:val="baseline"/>
        </w:rPr>
        <w:t>CATION</w:t>
      </w:r>
      <w:r>
        <w:rPr>
          <w:rFonts w:ascii="Times New Roman" w:hAnsi="Times New Roman"/>
          <w:color w:val="000000"/>
          <w:spacing w:val="-6"/>
          <w:w w:val="100"/>
          <w:position w:val="0"/>
          <w:sz w:val="24"/>
          <w:szCs w:val="24"/>
          <w:u w:val="none"/>
          <w:vertAlign w:val="superscript"/>
        </w:rPr>
        <w:t>*</w:t>
      </w:r>
    </w:p>
    <w:p>
      <w:pPr>
        <w:spacing w:before="259" w:line="259" w:lineRule="exact"/>
        <w:ind w:left="898" w:right="0"/>
        <w:jc w:val="both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Prior History:  </w:t>
      </w:r>
      <w:r>
        <w:rPr>
          <w:rFonts w:ascii="Times New Roman Bold" w:hAnsi="Times New Roman Bold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[*1]</w: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 Superior Court of San Ma-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teo County, No. CIV 505111, Raymond</w:t>
      </w:r>
    </w:p>
    <w:p>
      <w:pPr>
        <w:spacing w:before="0" w:line="259" w:lineRule="exact"/>
        <w:ind w:left="898"/>
        <w:jc w:val="left"/>
        <w:rPr>
          <w:rFonts w:ascii="Times New Roman" w:hAnsi="Times New Roman"/>
          <w:color w:val="000000"/>
          <w:spacing w:val="-2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Swope, Judge.</w:t>
      </w:r>
    </w:p>
    <w:p>
      <w:pPr>
        <w:spacing w:before="0" w:line="230" w:lineRule="exact"/>
        <w:ind w:left="978"/>
        <w:jc w:val="left"/>
        <w:rPr>
          <w:rFonts w:ascii="Times New Roman" w:hAnsi="Times New Roman"/>
          <w:color w:val="000000"/>
          <w:spacing w:val="-2"/>
          <w:w w:val="100"/>
          <w:position w:val="0"/>
          <w:u w:val="none"/>
          <w:vertAlign w:val="baseline"/>
        </w:rPr>
      </w:pPr>
    </w:p>
    <w:p>
      <w:pPr>
        <w:spacing w:before="169" w:line="230" w:lineRule="exact"/>
        <w:ind w:left="978"/>
        <w:jc w:val="left"/>
        <w:rPr>
          <w:rFonts w:ascii="Times New Roman Bold" w:hAnsi="Times New Roman Bold"/>
          <w:color w:val="000000"/>
          <w:spacing w:val="-3"/>
          <w:w w:val="100"/>
          <w:position w:val="0"/>
          <w:sz w:val="2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-3"/>
          <w:w w:val="100"/>
          <w:position w:val="0"/>
          <w:sz w:val="20"/>
          <w:szCs w:val="24"/>
          <w:u w:val="none"/>
          <w:vertAlign w:val="baseline"/>
        </w:rPr>
        <w:t>Core Terms</w:t>
      </w:r>
    </w:p>
    <w:p>
      <w:pPr>
        <w:spacing w:before="0" w:line="239" w:lineRule="exact"/>
        <w:ind w:left="898"/>
        <w:jc w:val="both"/>
        <w:rPr>
          <w:rFonts w:ascii="Times New Roman Bold" w:hAnsi="Times New Roman Bold"/>
          <w:color w:val="000000"/>
          <w:spacing w:val="-3"/>
          <w:w w:val="100"/>
          <w:position w:val="0"/>
          <w:sz w:val="20"/>
          <w:u w:val="none"/>
          <w:vertAlign w:val="baseline"/>
        </w:rPr>
      </w:pPr>
    </w:p>
    <w:p>
      <w:pPr>
        <w:spacing w:before="3" w:line="239" w:lineRule="exact"/>
        <w:ind w:left="898" w:right="104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demurrer, judicial notice, borrower, trust deed,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cause of action, foreclosure, notice, third</w:t>
      </w:r>
    </w:p>
    <w:p>
      <w:pPr>
        <w:spacing w:before="1" w:line="239" w:lineRule="exact"/>
        <w:ind w:left="898" w:right="642"/>
        <w:jc w:val="left"/>
        <w:rPr>
          <w:rFonts w:ascii="Times New Roman" w:hAnsi="Times New Roman"/>
          <w:color w:val="000000"/>
          <w:spacing w:val="-2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amended complaint, notice of default, </w:t>
        <w:br/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beneficiary, sustain a demurrer, wrongful</w:t>
      </w:r>
    </w:p>
    <w:p>
      <w:pPr>
        <w:spacing w:before="1" w:line="239" w:lineRule="exact"/>
        <w:ind w:left="898" w:right="511"/>
        <w:jc w:val="both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foreclosure, due diligence, lender, default, 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modify, mortgage, trustee sale, telephone,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foreclosure sale, trial court, recording of a 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notice, foreclose, purported</w:t>
      </w:r>
    </w:p>
    <w:p>
      <w:pPr>
        <w:spacing w:before="0" w:line="230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133" w:line="230" w:lineRule="exact"/>
        <w:ind w:left="978"/>
        <w:jc w:val="left"/>
        <w:rPr>
          <w:rFonts w:ascii="Times New Roman Bold" w:hAnsi="Times New Roman Bold"/>
          <w:color w:val="000000"/>
          <w:spacing w:val="-1"/>
          <w:w w:val="100"/>
          <w:position w:val="0"/>
          <w:sz w:val="2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>Case Summary</w:t>
      </w:r>
    </w:p>
    <w:p>
      <w:pPr>
        <w:spacing w:before="211" w:line="276" w:lineRule="exact"/>
        <w:ind w:left="898"/>
        <w:jc w:val="left"/>
        <w:rPr>
          <w:rFonts w:ascii="Times New Roman Bold" w:hAnsi="Times New Roman Bold"/>
          <w:color w:val="000000"/>
          <w:spacing w:val="-2"/>
          <w:w w:val="100"/>
          <w:position w:val="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Procedural Posture</w:t>
      </w:r>
    </w:p>
    <w:p>
      <w:pPr>
        <w:spacing w:before="0" w:line="259" w:lineRule="exact"/>
        <w:ind w:left="898" w:right="0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Plaintiff borrower’s third amended complaint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sought to preclude corporate defendants from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foreclosing on her property. Plaintiff contended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that defendants lacked authority to foreclose </w:t>
        <w:br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under the relevant deed of trust and notice of de-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fault. The San Mateo County Superior Court,</w:t>
      </w:r>
    </w:p>
    <w:p>
      <w:pPr>
        <w:spacing w:before="0" w:line="276" w:lineRule="exact"/>
        <w:ind w:left="5807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br w:type="column"/>
      </w:r>
    </w:p>
    <w:p>
      <w:pPr>
        <w:spacing w:before="10" w:line="276" w:lineRule="exact"/>
        <w:ind w:left="32"/>
        <w:jc w:val="left"/>
        <w:rPr>
          <w:rFonts w:ascii="Times New Roman" w:hAnsi="Times New Roman"/>
          <w:color w:val="000000"/>
          <w:spacing w:val="-4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4"/>
          <w:w w:val="100"/>
          <w:position w:val="0"/>
          <w:sz w:val="24"/>
          <w:szCs w:val="24"/>
          <w:u w:val="none"/>
          <w:vertAlign w:val="baseline"/>
        </w:rPr>
        <w:t>1180435</w:t>
      </w:r>
    </w:p>
    <w:p>
      <w:pPr>
        <w:spacing w:before="138" w:line="259" w:lineRule="exact"/>
        <w:ind w:left="20" w:right="728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California, entered a judgment of dismissal af-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ter it sustained defendants’ demurrer to the</w:t>
      </w:r>
    </w:p>
    <w:p>
      <w:pPr>
        <w:spacing w:before="0" w:line="259" w:lineRule="exact"/>
        <w:ind w:left="20" w:right="962"/>
        <w:jc w:val="both"/>
        <w:rPr>
          <w:rFonts w:ascii="Times New Roman" w:hAnsi="Times New Roman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6"/>
          <w:position w:val="0"/>
          <w:sz w:val="24"/>
          <w:szCs w:val="24"/>
          <w:u w:val="none"/>
          <w:vertAlign w:val="baseline"/>
        </w:rPr>
        <w:t xml:space="preserve">third amended complaint without leave to </w:t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amend.</w:t>
      </w:r>
    </w:p>
    <w:p>
      <w:pPr>
        <w:spacing w:before="246" w:line="276" w:lineRule="exact"/>
        <w:ind w:left="20"/>
        <w:jc w:val="left"/>
        <w:rPr>
          <w:rFonts w:ascii="Times New Roman Bold" w:hAnsi="Times New Roman Bold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Overview</w:t>
      </w:r>
    </w:p>
    <w:p>
      <w:pPr>
        <w:spacing w:before="0" w:line="258" w:lineRule="exact"/>
        <w:ind w:left="20" w:right="659"/>
        <w:jc w:val="both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Plaintiff alleged that defendants did not contact 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her or attempt to contact her with due dili-</w:t>
      </w:r>
    </w:p>
    <w:p>
      <w:pPr>
        <w:spacing w:before="1" w:line="259" w:lineRule="exact"/>
        <w:ind w:left="20" w:right="639"/>
        <w:jc w:val="both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gence as required by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Civ. Code, § 2923.5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. The </w: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court held that judicial notice could not be taken 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of defendants’ compliance with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§ 2923.5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.</w:t>
      </w:r>
    </w:p>
    <w:p>
      <w:pPr>
        <w:spacing w:before="0" w:line="259" w:lineRule="exact"/>
        <w:ind w:left="20" w:right="639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While judicial notice could be properly taken </w:t>
        <w:br/>
      </w:r>
      <w:r>
        <w:rPr>
          <w:rFonts w:ascii="Times New Roman" w:hAnsi="Times New Roman"/>
          <w:color w:val="000000"/>
          <w:spacing w:val="0"/>
          <w:w w:val="108"/>
          <w:position w:val="0"/>
          <w:sz w:val="24"/>
          <w:szCs w:val="24"/>
          <w:u w:val="none"/>
          <w:vertAlign w:val="baseline"/>
        </w:rPr>
        <w:t>of the existence of a declaration of compli-</w:t>
        <w:br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ance, it could not be taken of the facts of com-</w:t>
        <w:br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pliance asserted in the declaration, at least where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plaintiff alleged and argued that the declara-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tion was false and the facts asserted in the dec-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laration were reasonably subject to dispute.</w:t>
      </w:r>
    </w:p>
    <w:p>
      <w:pPr>
        <w:spacing w:before="0" w:line="259" w:lineRule="exact"/>
        <w:ind w:left="20" w:right="639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Even if the</w:t>
      </w:r>
      <w:r>
        <w:rPr>
          <w:rFonts w:ascii="Symbol" w:hAnsi="Symbol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 </w:t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facts</w:t>
      </w:r>
      <w:r>
        <w:rPr>
          <w:rFonts w:ascii="Symbol" w:hAnsi="Symbol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sym w:font="Symbol" w:char="F0B2"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 stated in the declaration could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be the subject of judicial notice, the declara-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tion contained only a conclusory assertion that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defendant bank complied with the statute; no-</w:t>
        <w:br/>
      </w:r>
      <w:r>
        <w:rPr>
          <w:rFonts w:ascii="Times New Roman" w:hAnsi="Times New Roman"/>
          <w:color w:val="000000"/>
          <w:spacing w:val="-4"/>
          <w:w w:val="100"/>
          <w:position w:val="0"/>
          <w:sz w:val="24"/>
          <w:szCs w:val="24"/>
          <w:u w:val="none"/>
          <w:vertAlign w:val="baseline"/>
        </w:rPr>
        <w:t>where did it state when, how, or by whom the el-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ements of due diligence were accomplished, </w:t>
        <w:br/>
      </w: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or how the declarant knew if they were. The </w:t>
        <w:br/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most these averments could do was create a fac-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tual dispute as to whether defendants com-</w:t>
      </w:r>
    </w:p>
    <w:p>
      <w:pPr>
        <w:spacing w:before="0" w:line="259" w:lineRule="exact"/>
        <w:ind w:left="20" w:right="639"/>
        <w:jc w:val="both"/>
        <w:rPr>
          <w:rFonts w:ascii="Times New Roman Italic" w:hAnsi="Times New Roman Italic"/>
          <w:color w:val="0000FF"/>
          <w:spacing w:val="0"/>
          <w:w w:val="100"/>
          <w:position w:val="0"/>
          <w:u w:val="singl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plied with the statute. Because plaintiff stated </w: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a cause of action for wrongful foreclosure based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on the purported failure to comply with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§</w:t>
      </w:r>
    </w:p>
    <w:p>
      <w:pPr>
        <w:spacing w:before="0" w:line="259" w:lineRule="exact"/>
        <w:ind w:left="20" w:right="888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>2923.5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before recordation of the notice of de-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fault, it was error to sustain the demurrer.</w:t>
      </w:r>
    </w:p>
    <w:p>
      <w:pPr>
        <w:spacing w:before="246" w:line="276" w:lineRule="exact"/>
        <w:ind w:left="20"/>
        <w:jc w:val="left"/>
        <w:rPr>
          <w:rFonts w:ascii="Times New Roman Bold" w:hAnsi="Times New Roman Bold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Outcome</w:t>
      </w:r>
    </w:p>
    <w:p>
      <w:pPr>
        <w:spacing w:before="1" w:line="255" w:lineRule="exact"/>
        <w:ind w:left="20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The judgment of dismissal was reversed. </w:t>
      </w:r>
    </w:p>
    <w:p>
      <w:pPr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  <w:sectPr>
          <w:type w:val="continuous"/>
          <w:pgSz w:w="12220" w:h="15820"/>
          <w:pgMar w:top="431" w:right="431" w:bottom="431" w:left="431" w:header="720" w:footer="720"/>
          <w:cols w:num="2" w:space="720" w:equalWidth="0">
            <w:col w:w="5767" w:space="40"/>
            <w:col w:w="5409" w:space="160"/>
          </w:cols>
        </w:sectPr>
      </w:pPr>
    </w:p>
    <w:p>
      <w:pPr>
        <w:spacing w:before="0" w:line="200" w:lineRule="exact"/>
        <w:ind w:left="898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</w:p>
    <w:p>
      <w:pPr>
        <w:spacing w:before="0" w:line="200" w:lineRule="exact"/>
        <w:ind w:left="898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</w:p>
    <w:p>
      <w:pPr>
        <w:spacing w:before="89" w:line="200" w:lineRule="exact"/>
        <w:ind w:left="898" w:right="838"/>
        <w:jc w:val="both"/>
        <w:rPr>
          <w:rFonts w:ascii="Times New Roman" w:hAnsi="Times New Roman"/>
          <w:color w:val="000000"/>
          <w:spacing w:val="0"/>
          <w:w w:val="100"/>
          <w:position w:val="0"/>
          <w:sz w:val="18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superscript"/>
        </w:rPr>
        <w:t>*</w:t>
      </w: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 xml:space="preserve">   Pursuant to</w:t>
      </w:r>
      <w:r>
        <w:rPr>
          <w:rFonts w:ascii="Times New Roman" w:hAnsi="Times New Roman"/>
          <w:color w:val="0000FF"/>
          <w:spacing w:val="0"/>
          <w:w w:val="100"/>
          <w:position w:val="0"/>
          <w:sz w:val="18"/>
          <w:szCs w:val="24"/>
          <w:u w:val="single"/>
          <w:vertAlign w:val="baseline"/>
        </w:rPr>
        <w:t xml:space="preserve"> California Rules of Court, rules 8.1105(b)</w:t>
      </w: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>and</w:t>
      </w:r>
      <w:r>
        <w:rPr>
          <w:rFonts w:ascii="Times New Roman" w:hAnsi="Times New Roman"/>
          <w:color w:val="0000FF"/>
          <w:spacing w:val="0"/>
          <w:w w:val="100"/>
          <w:position w:val="0"/>
          <w:sz w:val="18"/>
          <w:szCs w:val="24"/>
          <w:u w:val="single"/>
          <w:vertAlign w:val="baseline"/>
        </w:rPr>
        <w:t xml:space="preserve"> 8.1110</w:t>
      </w: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 xml:space="preserve">, this opinion is certified for publication with the exception of </w:t>
      </w: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 xml:space="preserve">parts II.A.2.-10., B. and C. </w:t>
      </w:r>
    </w:p>
    <w:p>
      <w:pPr>
        <w:spacing w:before="0" w:line="230" w:lineRule="exact"/>
        <w:ind w:left="5183"/>
        <w:jc w:val="left"/>
        <w:rPr>
          <w:rFonts w:ascii="Times New Roman" w:hAnsi="Times New Roman"/>
          <w:color w:val="000000"/>
          <w:spacing w:val="0"/>
          <w:w w:val="100"/>
          <w:position w:val="0"/>
          <w:sz w:val="18"/>
          <w:u w:val="none"/>
          <w:vertAlign w:val="baseline"/>
        </w:rPr>
      </w:pPr>
    </w:p>
    <w:p>
      <w:pPr>
        <w:spacing w:before="66" w:line="230" w:lineRule="exact"/>
        <w:ind w:left="5183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 xml:space="preserve">Charles Cox </w: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67" style="mso-position-horizontal-relative:page;mso-position-vertical-relative:page;position:absolute;z-index:-251607040" from="66.5pt,400.2pt" to="301pt,400.2pt" o:allowincell="f" strokecolor="black" strokeweight="1.5pt">
            <w10:wrap anchorx="page" anchory="page"/>
          </v:line>
        </w:pic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68" style="mso-position-horizontal-relative:page;mso-position-vertical-relative:page;position:absolute;z-index:-251606016" from="300pt,407.05pt" to="301pt,407.05pt" o:allowincell="f" strokecolor="black" strokeweight="14.22pt">
            <w10:wrap anchorx="page" anchory="page"/>
          </v:line>
        </w:pic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69" style="mso-position-horizontal-relative:page;mso-position-vertical-relative:page;position:absolute;z-index:-251604992" from="66.5pt,413.95pt" to="301pt,413.95pt" o:allowincell="f" strokecolor="black" strokeweight="1.5pt">
            <w10:wrap anchorx="page" anchory="page"/>
          </v:line>
        </w:pic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70" style="mso-position-horizontal-relative:page;mso-position-vertical-relative:page;position:absolute;z-index:-251603968" from="66.5pt,407.05pt" to="67.5pt,407.05pt" o:allowincell="f" strokecolor="black" strokeweight="14.22pt">
            <w10:wrap anchorx="page" anchory="page"/>
          </v:line>
        </w:pic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71" style="mso-position-horizontal-relative:page;mso-position-vertical-relative:page;position:absolute;z-index:-251602944" from="66.5pt,537.65pt" to="301pt,537.65pt" o:allowincell="f" strokecolor="black" strokeweight="1.5pt">
            <w10:wrap anchorx="page" anchory="page"/>
          </v:line>
        </w:pic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72" style="mso-position-horizontal-relative:page;mso-position-vertical-relative:page;position:absolute;z-index:-251601920" from="300pt,544.5pt" to="301pt,544.5pt" o:allowincell="f" strokecolor="black" strokeweight="14.22pt">
            <w10:wrap anchorx="page" anchory="page"/>
          </v:line>
        </w:pic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73" style="mso-position-horizontal-relative:page;mso-position-vertical-relative:page;position:absolute;z-index:-251600896" from="66.5pt,551.4pt" to="301pt,551.4pt" o:allowincell="f" strokecolor="black" strokeweight="1.5pt">
            <w10:wrap anchorx="page" anchory="page"/>
          </v:line>
        </w:pic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74" style="mso-position-horizontal-relative:page;mso-position-vertical-relative:page;position:absolute;z-index:-251598848" from="66.5pt,544.5pt" to="67.5pt,544.5pt" o:allowincell="f" strokecolor="black" strokeweight="14.22pt">
            <w10:wrap anchorx="page" anchory="page"/>
          </v:line>
        </w:pic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75" style="mso-position-horizontal-relative:page;mso-position-vertical-relative:page;position:absolute;z-index:-251591680" from="66.5pt,691.9pt" to="545.45pt,691.9pt" o:allowincell="f" strokecolor="black" strokeweight="1.5pt">
            <w10:wrap anchorx="page" anchory="page"/>
          </v:line>
        </w:pict>
      </w:r>
    </w:p>
    <w:p>
      <w:pPr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  <w:sectPr>
          <w:type w:val="continuous"/>
          <w:pgSz w:w="12220" w:h="15820"/>
          <w:pgMar w:top="431" w:right="431" w:bottom="431" w:left="431" w:header="720" w:footer="720"/>
          <w:cols w:space="720"/>
        </w:sectPr>
      </w:pPr>
    </w:p>
    <w:p>
      <w:pPr>
        <w:spacing w:before="178" w:line="230" w:lineRule="exact"/>
        <w:ind w:left="9431"/>
        <w:jc w:val="left"/>
        <w:rPr>
          <w:rFonts w:ascii="Times New Roman" w:hAnsi="Times New Roman"/>
          <w:color w:val="000000"/>
          <w:spacing w:val="0"/>
          <w:w w:val="101"/>
          <w:position w:val="0"/>
          <w:sz w:val="20"/>
          <w:u w:val="none"/>
          <w:vertAlign w:val="baseline"/>
        </w:rPr>
      </w:pPr>
      <w:bookmarkStart w:id="2" w:name="Pg3"/>
      <w:bookmarkEnd w:id="2"/>
      <w:r>
        <w:rPr>
          <w:rFonts w:ascii="Times New Roman" w:hAnsi="Times New Roman"/>
          <w:color w:val="000000"/>
          <w:spacing w:val="0"/>
          <w:w w:val="101"/>
          <w:position w:val="0"/>
          <w:sz w:val="20"/>
          <w:szCs w:val="24"/>
          <w:u w:val="none"/>
          <w:vertAlign w:val="baseline"/>
        </w:rPr>
        <w:t xml:space="preserve">Page 2 of 11 </w:t>
      </w:r>
    </w:p>
    <w:p>
      <w:pPr>
        <w:spacing w:before="10" w:line="230" w:lineRule="exact"/>
        <w:ind w:left="4460"/>
        <w:jc w:val="left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 xml:space="preserve">2013 Cal. App. LEXIS 225, *1 </w:t>
      </w:r>
    </w:p>
    <w:p>
      <w:pPr>
        <w:spacing w:before="272" w:line="276" w:lineRule="exact"/>
        <w:ind w:left="5807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her property without offering to repay what he</w:t>
      </w:r>
    </w:p>
    <w:p>
      <w:pPr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  <w:sectPr>
          <w:pgSz w:w="12220" w:h="15820"/>
          <w:pgMar w:top="431" w:right="431" w:bottom="431" w:left="431" w:header="720" w:footer="720"/>
          <w:cols w:space="720"/>
        </w:sectPr>
      </w:pPr>
    </w:p>
    <w:p>
      <w:pPr>
        <w:spacing w:before="150" w:line="230" w:lineRule="exact"/>
        <w:ind w:left="978"/>
        <w:jc w:val="left"/>
        <w:rPr>
          <w:rFonts w:ascii="Times New Roman Bold" w:hAnsi="Times New Roman Bold"/>
          <w:color w:val="000000"/>
          <w:spacing w:val="-2"/>
          <w:w w:val="100"/>
          <w:position w:val="0"/>
          <w:sz w:val="2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-2"/>
          <w:w w:val="100"/>
          <w:position w:val="0"/>
          <w:sz w:val="20"/>
          <w:szCs w:val="24"/>
          <w:u w:val="none"/>
          <w:vertAlign w:val="baseline"/>
        </w:rPr>
        <w:t>LexisNexis® Headnotes</w:t>
      </w:r>
    </w:p>
    <w:p>
      <w:pPr>
        <w:spacing w:before="0" w:line="219" w:lineRule="exact"/>
        <w:ind w:left="1098"/>
        <w:jc w:val="both"/>
        <w:rPr>
          <w:rFonts w:ascii="Times New Roman Bold" w:hAnsi="Times New Roman Bold"/>
          <w:color w:val="000000"/>
          <w:spacing w:val="-2"/>
          <w:w w:val="100"/>
          <w:position w:val="0"/>
          <w:sz w:val="20"/>
          <w:u w:val="none"/>
          <w:vertAlign w:val="baseline"/>
        </w:rPr>
      </w:pPr>
    </w:p>
    <w:p>
      <w:pPr>
        <w:spacing w:before="15" w:line="219" w:lineRule="exact"/>
        <w:ind w:left="1098" w:right="32"/>
        <w:jc w:val="both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Civil Procedure &gt; ... &gt; Responses &gt; Defenses, Demur-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rers &amp; Objections &gt; Demurrers</w:t>
      </w:r>
    </w:p>
    <w:p>
      <w:pPr>
        <w:spacing w:before="1" w:line="219" w:lineRule="exact"/>
        <w:ind w:left="1098" w:right="716"/>
        <w:jc w:val="both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Civil Procedure &gt; Appeals &gt; Standards of Re-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view &gt; De Novo Review</w:t>
      </w:r>
    </w:p>
    <w:p>
      <w:pPr>
        <w:spacing w:before="1" w:line="219" w:lineRule="exact"/>
        <w:ind w:left="1098"/>
        <w:jc w:val="left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Evidence &gt; Judicial Notice &gt; General Overview</w:t>
      </w:r>
    </w:p>
    <w:p>
      <w:pPr>
        <w:spacing w:before="192" w:line="259" w:lineRule="exact"/>
        <w:ind w:left="898" w:right="5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 Bold Italic" w:hAnsi="Times New Roman Bold Italic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HN1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In its de novo review of an order sustain-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ing a demurrer, the appellate court assumes</w:t>
      </w:r>
    </w:p>
    <w:p>
      <w:pPr>
        <w:spacing w:before="1" w:line="259" w:lineRule="exact"/>
        <w:ind w:left="898" w:right="0"/>
        <w:jc w:val="left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4"/>
          <w:w w:val="100"/>
          <w:position w:val="0"/>
          <w:sz w:val="24"/>
          <w:szCs w:val="24"/>
          <w:u w:val="none"/>
          <w:vertAlign w:val="baseline"/>
        </w:rPr>
        <w:t>the truth of all facts properly pleaded in the com-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plaint or reasonably inferred from the plead-</w:t>
        <w:br/>
      </w: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ing, but not mere contentions, deductions, or </w:t>
        <w:br/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conclusions of law. The appellate court then de-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termines if those facts are sufficient, as a mat-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ter of law, to state a cause of action under</w:t>
      </w:r>
    </w:p>
    <w:p>
      <w:pPr>
        <w:spacing w:before="0" w:line="259" w:lineRule="exact"/>
        <w:ind w:left="898" w:right="60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any legal theory. In making this determination,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the appellate court also considers facts of</w:t>
      </w:r>
    </w:p>
    <w:p>
      <w:pPr>
        <w:spacing w:before="0" w:line="259" w:lineRule="exact"/>
        <w:ind w:left="898" w:right="71"/>
        <w:jc w:val="both"/>
        <w:rPr>
          <w:rFonts w:ascii="Times New Roman" w:hAnsi="Times New Roman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which the trial court properly took judicial no-</w:t>
        <w:br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tice.</w:t>
      </w:r>
    </w:p>
    <w:p>
      <w:pPr>
        <w:spacing w:before="0" w:line="219" w:lineRule="exact"/>
        <w:ind w:left="898"/>
        <w:jc w:val="both"/>
        <w:rPr>
          <w:rFonts w:ascii="Times New Roman" w:hAnsi="Times New Roman"/>
          <w:color w:val="000000"/>
          <w:spacing w:val="-3"/>
          <w:w w:val="100"/>
          <w:position w:val="0"/>
          <w:u w:val="none"/>
          <w:vertAlign w:val="baseline"/>
        </w:rPr>
      </w:pPr>
    </w:p>
    <w:p>
      <w:pPr>
        <w:spacing w:before="50" w:line="219" w:lineRule="exact"/>
        <w:ind w:left="1098" w:right="32"/>
        <w:jc w:val="both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Civil Procedure &gt; ... &gt; Responses &gt; Defenses, Demur-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rers &amp; Objections &gt; Demurrers</w:t>
      </w:r>
    </w:p>
    <w:p>
      <w:pPr>
        <w:spacing w:before="0" w:line="219" w:lineRule="exact"/>
        <w:ind w:left="1098"/>
        <w:jc w:val="left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Evidence &gt; Judicial Notice &gt; General Overview</w:t>
      </w:r>
    </w:p>
    <w:p>
      <w:pPr>
        <w:spacing w:before="192" w:line="259" w:lineRule="exact"/>
        <w:ind w:left="898" w:right="18"/>
        <w:jc w:val="both"/>
        <w:rPr>
          <w:rFonts w:ascii="Times New Roman" w:hAnsi="Times New Roman"/>
          <w:color w:val="000000"/>
          <w:spacing w:val="-2"/>
          <w:w w:val="100"/>
          <w:position w:val="0"/>
          <w:u w:val="none"/>
          <w:vertAlign w:val="baseline"/>
        </w:rPr>
      </w:pPr>
      <w:r>
        <w:rPr>
          <w:rFonts w:ascii="Times New Roman Bold Italic" w:hAnsi="Times New Roman Bold Italic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HN2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A demurrer may be sustained where judi-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cially noticeable facts render the pleading de-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fective, and allegations in the pleading may be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disregarded if they are contrary to facts judi-</w:t>
        <w:br/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cially noticed.</w:t>
      </w:r>
    </w:p>
    <w:p>
      <w:pPr>
        <w:spacing w:before="0" w:line="219" w:lineRule="exact"/>
        <w:ind w:left="898"/>
        <w:jc w:val="both"/>
        <w:rPr>
          <w:rFonts w:ascii="Times New Roman" w:hAnsi="Times New Roman"/>
          <w:color w:val="000000"/>
          <w:spacing w:val="-2"/>
          <w:w w:val="100"/>
          <w:position w:val="0"/>
          <w:u w:val="none"/>
          <w:vertAlign w:val="baseline"/>
        </w:rPr>
      </w:pPr>
    </w:p>
    <w:p>
      <w:pPr>
        <w:spacing w:before="50" w:line="219" w:lineRule="exact"/>
        <w:ind w:left="1098" w:right="32"/>
        <w:jc w:val="both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Civil Procedure &gt; ... &gt; Responses &gt; Defenses, Demur-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rers &amp; Objections &gt; Demurrers</w:t>
      </w:r>
    </w:p>
    <w:p>
      <w:pPr>
        <w:spacing w:before="0" w:line="219" w:lineRule="exact"/>
        <w:ind w:left="1098" w:right="716"/>
        <w:jc w:val="both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Civil Procedure &gt; Appeals &gt; Standards of Re-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view &gt; General Overview</w:t>
      </w:r>
    </w:p>
    <w:p>
      <w:pPr>
        <w:spacing w:before="192" w:line="259" w:lineRule="exact"/>
        <w:ind w:left="898" w:right="0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 Bold Italic" w:hAnsi="Times New Roman Bold Italic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HN3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In order to prevail on appeal from an or-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der sustaining a demurrer, the appellant must </w:t>
        <w:br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affirmatively demonstrate error. Specifically, the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appellant must show that the facts pleaded are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sufficient to establish every element of a cause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of action and overcome all legal grounds on </w:t>
        <w:br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which the trial court sustained the demurrer. The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appellate court will affirm the ruling if there </w:t>
        <w:br/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is any ground on which the demurrer could have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been properly sustained.</w:t>
      </w:r>
    </w:p>
    <w:p>
      <w:pPr>
        <w:spacing w:before="0" w:line="219" w:lineRule="exact"/>
        <w:ind w:left="898"/>
        <w:jc w:val="both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50" w:line="219" w:lineRule="exact"/>
        <w:ind w:left="1098" w:right="823"/>
        <w:jc w:val="both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5"/>
          <w:position w:val="0"/>
          <w:sz w:val="20"/>
          <w:szCs w:val="24"/>
          <w:u w:val="none"/>
          <w:vertAlign w:val="baseline"/>
        </w:rPr>
        <w:t>Real Property Law &gt; Financing &gt; Foreclo-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sures &gt; General Overview</w:t>
      </w:r>
    </w:p>
    <w:p>
      <w:pPr>
        <w:spacing w:before="192" w:line="259" w:lineRule="exact"/>
        <w:ind w:left="898" w:right="0"/>
        <w:jc w:val="both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 Bold Italic" w:hAnsi="Times New Roman Bold Italic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HN4</w: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 As a general rule, a plaintiff may not chal-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lenge the propriety of a foreclosure on his or</w:t>
      </w:r>
    </w:p>
    <w:p>
      <w:pPr>
        <w:spacing w:before="12" w:line="259" w:lineRule="exact"/>
        <w:ind w:left="20" w:right="675"/>
        <w:jc w:val="both"/>
        <w:rPr>
          <w:rFonts w:ascii="Times New Roman Italic" w:hAnsi="Times New Roman Italic"/>
          <w:color w:val="0000FF"/>
          <w:spacing w:val="-1"/>
          <w:w w:val="100"/>
          <w:position w:val="0"/>
          <w:u w:val="singl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br w:type="column"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or she borrowed against the property. A valid 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tender of performance must be of the full debt, </w: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in good faith, unconditional, and with the abil-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ity to perform.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Civ. Code, §§</w:t>
      </w:r>
    </w:p>
    <w:p>
      <w:pPr>
        <w:spacing w:before="1" w:line="259" w:lineRule="exact"/>
        <w:ind w:left="20"/>
        <w:jc w:val="left"/>
        <w:rPr>
          <w:rFonts w:ascii="Times New Roman" w:hAnsi="Times New Roman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Fonts w:ascii="Times New Roman Italic" w:hAnsi="Times New Roman Italic"/>
          <w:color w:val="0000FF"/>
          <w:spacing w:val="-3"/>
          <w:w w:val="100"/>
          <w:position w:val="0"/>
          <w:sz w:val="24"/>
          <w:szCs w:val="24"/>
          <w:u w:val="single"/>
          <w:vertAlign w:val="baseline"/>
        </w:rPr>
        <w:t>1486</w:t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,</w:t>
      </w:r>
      <w:r>
        <w:rPr>
          <w:rFonts w:ascii="Times New Roman Italic" w:hAnsi="Times New Roman Italic"/>
          <w:color w:val="0000FF"/>
          <w:spacing w:val="-3"/>
          <w:w w:val="100"/>
          <w:position w:val="0"/>
          <w:sz w:val="24"/>
          <w:szCs w:val="24"/>
          <w:u w:val="single"/>
          <w:vertAlign w:val="baseline"/>
        </w:rPr>
        <w:t xml:space="preserve"> 1493</w:t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,</w:t>
      </w:r>
      <w:r>
        <w:rPr>
          <w:rFonts w:ascii="Times New Roman Italic" w:hAnsi="Times New Roman Italic"/>
          <w:color w:val="0000FF"/>
          <w:spacing w:val="-3"/>
          <w:w w:val="100"/>
          <w:position w:val="0"/>
          <w:sz w:val="24"/>
          <w:szCs w:val="24"/>
          <w:u w:val="single"/>
          <w:vertAlign w:val="baseline"/>
        </w:rPr>
        <w:t xml:space="preserve"> 1494</w:t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,</w:t>
      </w:r>
      <w:r>
        <w:rPr>
          <w:rFonts w:ascii="Times New Roman Italic" w:hAnsi="Times New Roman Italic"/>
          <w:color w:val="0000FF"/>
          <w:spacing w:val="-3"/>
          <w:w w:val="100"/>
          <w:position w:val="0"/>
          <w:sz w:val="24"/>
          <w:szCs w:val="24"/>
          <w:u w:val="single"/>
          <w:vertAlign w:val="baseline"/>
        </w:rPr>
        <w:t xml:space="preserve"> 1495</w:t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.</w:t>
      </w:r>
    </w:p>
    <w:p>
      <w:pPr>
        <w:spacing w:before="0" w:line="219" w:lineRule="exact"/>
        <w:ind w:left="5807"/>
        <w:jc w:val="both"/>
        <w:rPr>
          <w:rFonts w:ascii="Times New Roman" w:hAnsi="Times New Roman"/>
          <w:color w:val="000000"/>
          <w:spacing w:val="-3"/>
          <w:w w:val="100"/>
          <w:position w:val="0"/>
          <w:u w:val="none"/>
          <w:vertAlign w:val="baseline"/>
        </w:rPr>
      </w:pPr>
    </w:p>
    <w:p>
      <w:pPr>
        <w:spacing w:before="49" w:line="219" w:lineRule="exact"/>
        <w:ind w:left="220" w:right="1473"/>
        <w:jc w:val="both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5"/>
          <w:position w:val="0"/>
          <w:sz w:val="20"/>
          <w:szCs w:val="24"/>
          <w:u w:val="none"/>
          <w:vertAlign w:val="baseline"/>
        </w:rPr>
        <w:t>Real Property Law &gt; Financing &gt; Foreclo-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sures &gt; General Overview</w:t>
      </w:r>
    </w:p>
    <w:p>
      <w:pPr>
        <w:spacing w:before="178" w:line="276" w:lineRule="exact"/>
        <w:ind w:left="20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 Bold Italic" w:hAnsi="Times New Roman Bold Italic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HN5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See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Civ. Code, § 2923.6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.</w:t>
      </w:r>
    </w:p>
    <w:p>
      <w:pPr>
        <w:spacing w:before="0" w:line="219" w:lineRule="exact"/>
        <w:ind w:left="5807"/>
        <w:jc w:val="both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47" w:line="219" w:lineRule="exact"/>
        <w:ind w:left="220" w:right="1473"/>
        <w:jc w:val="both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5"/>
          <w:position w:val="0"/>
          <w:sz w:val="20"/>
          <w:szCs w:val="24"/>
          <w:u w:val="none"/>
          <w:vertAlign w:val="baseline"/>
        </w:rPr>
        <w:t>Real Property Law &gt; Financing &gt; Foreclo-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sures &gt; General Overview</w:t>
      </w:r>
    </w:p>
    <w:p>
      <w:pPr>
        <w:spacing w:before="192" w:line="259" w:lineRule="exact"/>
        <w:ind w:left="20" w:right="639" w:firstLine="0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 Bold Italic" w:hAnsi="Times New Roman Bold Italic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HN6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Civ. Code, § 2923.6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, does not grant a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right to a loan modification. To the contrary, it </w:t>
        <w:br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merely expresses the hope that lenders will of-</w:t>
        <w:br/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fer loan modifications on certain terms and con-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spicuously does not require lenders to take </w:t>
        <w:br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any action. In other words, there is no</w:t>
      </w:r>
      <w:r>
        <w:rPr>
          <w:rFonts w:ascii="Symbol" w:hAnsi="Symbol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 </w:t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duty</w:t>
      </w:r>
      <w:r>
        <w:rPr>
          <w:rFonts w:ascii="Symbol" w:hAnsi="Symbol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sym w:font="Symbol" w:char="F0B2"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 un-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der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§ 2923.6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to agree to a loan modification.</w:t>
      </w:r>
    </w:p>
    <w:p>
      <w:pPr>
        <w:spacing w:before="0" w:line="219" w:lineRule="exact"/>
        <w:ind w:left="5807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</w:p>
    <w:p>
      <w:pPr>
        <w:spacing w:before="50" w:line="219" w:lineRule="exact"/>
        <w:ind w:left="220" w:right="1473"/>
        <w:jc w:val="both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5"/>
          <w:position w:val="0"/>
          <w:sz w:val="20"/>
          <w:szCs w:val="24"/>
          <w:u w:val="none"/>
          <w:vertAlign w:val="baseline"/>
        </w:rPr>
        <w:t>Real Property Law &gt; Financing &gt; Foreclo-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sures &gt; General Overview</w:t>
      </w:r>
    </w:p>
    <w:p>
      <w:pPr>
        <w:spacing w:before="192" w:line="259" w:lineRule="exact"/>
        <w:ind w:left="20" w:right="802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 Bold Italic" w:hAnsi="Times New Roman Bold Italic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HN7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Civ. Code, § 2923.5, subd. (a)(1)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, pre-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cludes a trustee or mortgage servicer from re-</w:t>
      </w:r>
    </w:p>
    <w:p>
      <w:pPr>
        <w:spacing w:before="0" w:line="259" w:lineRule="exact"/>
        <w:ind w:left="20" w:right="639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cording a notice of default until 30 days after the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loan servicer has made initial contact with the </w:t>
        <w:br/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borrower to assess the borrower’s financial situ-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ation and explore options for avoiding foreclo-</w:t>
        <w:br/>
      </w:r>
      <w:r>
        <w:rPr>
          <w:rFonts w:ascii="Times New Roman" w:hAnsi="Times New Roman"/>
          <w:color w:val="000000"/>
          <w:spacing w:val="-4"/>
          <w:w w:val="100"/>
          <w:position w:val="0"/>
          <w:sz w:val="24"/>
          <w:szCs w:val="24"/>
          <w:u w:val="none"/>
          <w:vertAlign w:val="baseline"/>
        </w:rPr>
        <w:t>sure, or has satisfied the due diligence require-</w:t>
        <w:br/>
      </w:r>
      <w:r>
        <w:rPr>
          <w:rFonts w:ascii="Times New Roman" w:hAnsi="Times New Roman"/>
          <w:color w:val="000000"/>
          <w:spacing w:val="0"/>
          <w:w w:val="107"/>
          <w:position w:val="0"/>
          <w:sz w:val="24"/>
          <w:szCs w:val="24"/>
          <w:u w:val="none"/>
          <w:vertAlign w:val="baseline"/>
        </w:rPr>
        <w:t xml:space="preserve">ments of the statute. Due diligence requires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sending a letter by first class mail, making</w:t>
      </w:r>
    </w:p>
    <w:p>
      <w:pPr>
        <w:spacing w:before="0" w:line="259" w:lineRule="exact"/>
        <w:ind w:left="20" w:right="639"/>
        <w:jc w:val="both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three attempts to contact the borrower by tele-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phone, and sending a certified letter if no re-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sponse is received within two weeks of the tele-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phone attempts.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§ 2923.5, subd. (e)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.</w:t>
      </w:r>
    </w:p>
    <w:p>
      <w:pPr>
        <w:spacing w:before="0" w:line="219" w:lineRule="exact"/>
        <w:ind w:left="6007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49" w:line="219" w:lineRule="exact"/>
        <w:ind w:left="220" w:right="679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 xml:space="preserve">Evidence &gt; Judicial Notice &gt; General Overview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Real Property Law &gt; Financing &gt; Foreclosures &gt; Gen-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>eral Overview</w:t>
      </w:r>
    </w:p>
    <w:p>
      <w:pPr>
        <w:spacing w:before="192" w:line="259" w:lineRule="exact"/>
        <w:ind w:left="20" w:right="708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 Bold Italic" w:hAnsi="Times New Roman Bold Italic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HN8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Civ. Code, § 2923.5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, requires not only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that a declaration of compliance be attached to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the notice of default, but that the bank actu-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ally perform the underlying acts (i.e., contact-</w:t>
      </w:r>
    </w:p>
    <w:p>
      <w:pPr>
        <w:spacing w:before="0" w:line="259" w:lineRule="exact"/>
        <w:ind w:left="20" w:right="639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ing the borrower or attempting such contact with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due diligence) that would constitute compli-</w:t>
        <w:br/>
      </w:r>
      <w:r>
        <w:rPr>
          <w:rFonts w:ascii="Times New Roman" w:hAnsi="Times New Roman"/>
          <w:color w:val="000000"/>
          <w:spacing w:val="0"/>
          <w:w w:val="103"/>
          <w:position w:val="0"/>
          <w:sz w:val="24"/>
          <w:szCs w:val="24"/>
          <w:u w:val="none"/>
          <w:vertAlign w:val="baseline"/>
        </w:rPr>
        <w:t xml:space="preserve">ance. While judicial notice may be properly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taken of the existence of the declaration, it may </w:t>
      </w:r>
    </w:p>
    <w:p>
      <w:pPr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  <w:sectPr>
          <w:type w:val="continuous"/>
          <w:pgSz w:w="12220" w:h="15820"/>
          <w:pgMar w:top="431" w:right="431" w:bottom="431" w:left="431" w:header="720" w:footer="720"/>
          <w:cols w:num="2" w:space="720" w:equalWidth="0">
            <w:col w:w="5647" w:space="160"/>
            <w:col w:w="5409" w:space="160"/>
          </w:cols>
        </w:sectPr>
      </w:pPr>
    </w:p>
    <w:p>
      <w:pPr>
        <w:spacing w:before="0" w:line="230" w:lineRule="exact"/>
        <w:ind w:left="5183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</w:p>
    <w:p>
      <w:pPr>
        <w:spacing w:before="135" w:line="230" w:lineRule="exact"/>
        <w:ind w:left="5183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 xml:space="preserve">Charles Cox </w: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76" style="mso-position-horizontal-relative:page;mso-position-vertical-relative:page;position:absolute;z-index:-251656192" from="66.5pt,88.15pt" to="301pt,88.15pt" o:allowincell="f" strokecolor="black" strokeweight="1.5pt">
            <w10:wrap anchorx="page" anchory="page"/>
          </v:line>
        </w:pic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77" style="mso-position-horizontal-relative:page;mso-position-vertical-relative:page;position:absolute;z-index:-251653120" from="300pt,95pt" to="301pt,95pt" o:allowincell="f" strokecolor="black" strokeweight="14.22pt">
            <w10:wrap anchorx="page" anchory="page"/>
          </v:line>
        </w:pic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78" style="mso-position-horizontal-relative:page;mso-position-vertical-relative:page;position:absolute;z-index:-251650048" from="66.5pt,101.85pt" to="301pt,101.85pt" o:allowincell="f" strokecolor="black" strokeweight="1.5pt">
            <w10:wrap anchorx="page" anchory="page"/>
          </v:line>
        </w:pic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79" style="mso-position-horizontal-relative:page;mso-position-vertical-relative:page;position:absolute;z-index:-251646976" from="66.5pt,95pt" to="67.5pt,95pt" o:allowincell="f" strokecolor="black" strokeweight="14.22pt">
            <w10:wrap anchorx="page" anchory="page"/>
          </v:line>
        </w:pict>
      </w:r>
    </w:p>
    <w:p>
      <w:pPr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  <w:sectPr>
          <w:type w:val="continuous"/>
          <w:pgSz w:w="12220" w:h="15820"/>
          <w:pgMar w:top="431" w:right="431" w:bottom="431" w:left="431" w:header="720" w:footer="720"/>
          <w:cols w:space="720"/>
        </w:sectPr>
      </w:pPr>
    </w:p>
    <w:p>
      <w:pPr>
        <w:spacing w:before="178" w:line="230" w:lineRule="exact"/>
        <w:ind w:left="9431"/>
        <w:jc w:val="left"/>
        <w:rPr>
          <w:rFonts w:ascii="Times New Roman" w:hAnsi="Times New Roman"/>
          <w:color w:val="000000"/>
          <w:spacing w:val="0"/>
          <w:w w:val="101"/>
          <w:position w:val="0"/>
          <w:sz w:val="20"/>
          <w:u w:val="none"/>
          <w:vertAlign w:val="baseline"/>
        </w:rPr>
      </w:pPr>
      <w:bookmarkStart w:id="3" w:name="Pg4"/>
      <w:bookmarkEnd w:id="3"/>
      <w:r>
        <w:rPr>
          <w:rFonts w:ascii="Times New Roman" w:hAnsi="Times New Roman"/>
          <w:color w:val="000000"/>
          <w:spacing w:val="0"/>
          <w:w w:val="101"/>
          <w:position w:val="0"/>
          <w:sz w:val="20"/>
          <w:szCs w:val="24"/>
          <w:u w:val="none"/>
          <w:vertAlign w:val="baseline"/>
        </w:rPr>
        <w:t xml:space="preserve">Page 3 of 11 </w:t>
      </w:r>
    </w:p>
    <w:p>
      <w:pPr>
        <w:spacing w:before="10" w:line="230" w:lineRule="exact"/>
        <w:ind w:left="4460"/>
        <w:jc w:val="left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2013 Cal. App. LEXIS 225, *1</w:t>
      </w:r>
    </w:p>
    <w:p>
      <w:pPr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  <w:sectPr>
          <w:pgSz w:w="12220" w:h="15820"/>
          <w:pgMar w:top="431" w:right="431" w:bottom="431" w:left="431" w:header="720" w:footer="720"/>
          <w:cols w:space="720"/>
        </w:sectPr>
      </w:pPr>
    </w:p>
    <w:p>
      <w:pPr>
        <w:spacing w:before="0" w:line="259" w:lineRule="exact"/>
        <w:ind w:left="898"/>
        <w:jc w:val="left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</w:p>
    <w:p>
      <w:pPr>
        <w:spacing w:before="41" w:line="259" w:lineRule="exact"/>
        <w:ind w:left="898" w:right="0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not be taken of the facts of compliance as-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serted in the declaration, at least where the bor-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rower has alleged and argued that the declara-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tion is false and the facts asserted in the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declaration are reasonably subject to dispute.</w:t>
      </w:r>
    </w:p>
    <w:p>
      <w:pPr>
        <w:spacing w:before="0" w:line="219" w:lineRule="exact"/>
        <w:ind w:left="898"/>
        <w:jc w:val="both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50" w:line="219" w:lineRule="exact"/>
        <w:ind w:left="1098" w:right="32"/>
        <w:jc w:val="both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Civil Procedure &gt; ... &gt; Responses &gt; Defenses, Demur-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rers &amp; Objections &gt; Demurrers</w:t>
      </w:r>
    </w:p>
    <w:p>
      <w:pPr>
        <w:spacing w:before="192" w:line="259" w:lineRule="exact"/>
        <w:ind w:left="898" w:right="109"/>
        <w:jc w:val="both"/>
        <w:rPr>
          <w:rFonts w:ascii="Times New Roman" w:hAnsi="Times New Roman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Fonts w:ascii="Times New Roman Bold Italic" w:hAnsi="Times New Roman Bold Italic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HN9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A demurrer is not the appropriate proce-</w:t>
        <w:br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dure for determining the truth of disputed facts.</w:t>
      </w:r>
    </w:p>
    <w:p>
      <w:pPr>
        <w:spacing w:before="0" w:line="230" w:lineRule="exact"/>
        <w:ind w:left="898"/>
        <w:jc w:val="left"/>
        <w:rPr>
          <w:rFonts w:ascii="Times New Roman" w:hAnsi="Times New Roman"/>
          <w:color w:val="000000"/>
          <w:spacing w:val="-3"/>
          <w:w w:val="100"/>
          <w:position w:val="0"/>
          <w:u w:val="none"/>
          <w:vertAlign w:val="baseline"/>
        </w:rPr>
      </w:pPr>
    </w:p>
    <w:p>
      <w:pPr>
        <w:spacing w:before="169" w:line="230" w:lineRule="exact"/>
        <w:ind w:left="978"/>
        <w:jc w:val="left"/>
        <w:rPr>
          <w:rFonts w:ascii="Times New Roman Bold" w:hAnsi="Times New Roman Bold"/>
          <w:color w:val="000000"/>
          <w:spacing w:val="-2"/>
          <w:w w:val="100"/>
          <w:position w:val="0"/>
          <w:sz w:val="2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-2"/>
          <w:w w:val="100"/>
          <w:position w:val="0"/>
          <w:sz w:val="20"/>
          <w:szCs w:val="24"/>
          <w:u w:val="none"/>
          <w:vertAlign w:val="baseline"/>
        </w:rPr>
        <w:t>Headnotes/Syllabus</w:t>
      </w:r>
    </w:p>
    <w:p>
      <w:pPr>
        <w:spacing w:before="211" w:line="276" w:lineRule="exact"/>
        <w:ind w:left="898"/>
        <w:jc w:val="left"/>
        <w:rPr>
          <w:rFonts w:ascii="Times New Roman Bold" w:hAnsi="Times New Roman Bold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Summary</w:t>
      </w:r>
    </w:p>
    <w:p>
      <w:pPr>
        <w:spacing w:before="0" w:line="258" w:lineRule="exact"/>
        <w:ind w:left="898" w:right="279"/>
        <w:jc w:val="both"/>
        <w:rPr>
          <w:rFonts w:ascii="Times New Roman" w:hAnsi="Times New Roman"/>
          <w:color w:val="000000"/>
          <w:spacing w:val="-5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CALIFORNIA OFFICIAL REPORTS SUM-</w:t>
        <w:br/>
      </w:r>
      <w:r>
        <w:rPr>
          <w:rFonts w:ascii="Times New Roman" w:hAnsi="Times New Roman"/>
          <w:color w:val="000000"/>
          <w:spacing w:val="-5"/>
          <w:w w:val="100"/>
          <w:position w:val="0"/>
          <w:sz w:val="24"/>
          <w:szCs w:val="24"/>
          <w:u w:val="none"/>
          <w:vertAlign w:val="baseline"/>
        </w:rPr>
        <w:t>MARY</w:t>
      </w:r>
    </w:p>
    <w:p>
      <w:pPr>
        <w:spacing w:before="230" w:line="259" w:lineRule="exact"/>
        <w:ind w:left="898" w:right="0"/>
        <w:jc w:val="both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Plaintiff’s third amended complaint sought to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preclude corporate defendants from foreclosing </w:t>
        <w:br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on her property. Plaintiff contended that defen-</w:t>
        <w:br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dants lacked authority to foreclose under the rel-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evant deed of trust and notice of default. Ac-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cording to plaintiff, defendants did not contact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her or attempt to contact her with due dili-</w:t>
      </w:r>
    </w:p>
    <w:p>
      <w:pPr>
        <w:spacing w:before="0" w:line="259" w:lineRule="exact"/>
        <w:ind w:left="898" w:right="41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gence as required by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Civ. Code, § 2923.5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. The </w:t>
      </w:r>
      <w:r>
        <w:rPr>
          <w:rFonts w:ascii="Times New Roman" w:hAnsi="Times New Roman"/>
          <w:color w:val="000000"/>
          <w:spacing w:val="0"/>
          <w:w w:val="103"/>
          <w:position w:val="0"/>
          <w:sz w:val="24"/>
          <w:szCs w:val="24"/>
          <w:u w:val="none"/>
          <w:vertAlign w:val="baseline"/>
        </w:rPr>
        <w:t>trial court entered a judgment of dismissal af-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ter it sustained defendants’ demurrer to the</w:t>
      </w:r>
    </w:p>
    <w:p>
      <w:pPr>
        <w:spacing w:before="1" w:line="259" w:lineRule="exact"/>
        <w:ind w:left="898" w:right="113"/>
        <w:jc w:val="both"/>
        <w:rPr>
          <w:rFonts w:ascii="Times New Roman" w:hAnsi="Times New Roman"/>
          <w:color w:val="000000"/>
          <w:spacing w:val="-2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6"/>
          <w:position w:val="0"/>
          <w:sz w:val="24"/>
          <w:szCs w:val="24"/>
          <w:u w:val="none"/>
          <w:vertAlign w:val="baseline"/>
        </w:rPr>
        <w:t xml:space="preserve">third amended complaint without leave to 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amend. (Superior Court of San Mateo County, </w: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No. CIV505111, Raymond Swope, Judge.)</w:t>
      </w:r>
    </w:p>
    <w:p>
      <w:pPr>
        <w:spacing w:before="230" w:line="259" w:lineRule="exact"/>
        <w:ind w:left="898" w:right="0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The Court of Appeal reversed the judgment of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dismissal. The court held that judicial notice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could not be taken of defendants’ compliance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with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Civ. Code, § 2923.5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. While judicial notice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could be properly taken of the existence of a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declaration of compliance, it could not be taken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of the facts of compliance asserted in the dec-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laration, at least where plaintiff alleged and ar-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gued that the declaration was false and the</w:t>
      </w:r>
    </w:p>
    <w:p>
      <w:pPr>
        <w:spacing w:before="0" w:line="259" w:lineRule="exact"/>
        <w:ind w:left="898" w:right="0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facts asserted in the declaration were reason-</w:t>
        <w:br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ably subject to dispute. Even if the “facts” stated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in the declaration could be the subject of judi-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cial notice, the declaration contained only a</w:t>
      </w:r>
    </w:p>
    <w:p>
      <w:pPr>
        <w:spacing w:before="0" w:line="259" w:lineRule="exact"/>
        <w:ind w:left="898" w:right="98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conclusory assertion that defendant bank com-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plied with the statute; nowhere did it state</w:t>
      </w:r>
    </w:p>
    <w:p>
      <w:pPr>
        <w:spacing w:before="1" w:line="259" w:lineRule="exact"/>
        <w:ind w:left="898" w:right="0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4"/>
          <w:w w:val="100"/>
          <w:position w:val="0"/>
          <w:sz w:val="24"/>
          <w:szCs w:val="24"/>
          <w:u w:val="none"/>
          <w:vertAlign w:val="baseline"/>
        </w:rPr>
        <w:t>when, how, or by whom the elements of due dili-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gence were accomplished, or how the de-</w:t>
      </w:r>
    </w:p>
    <w:p>
      <w:pPr>
        <w:spacing w:before="1" w:line="259" w:lineRule="exact"/>
        <w:ind w:left="898" w:right="0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clarant knew if they were. The most these aver-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ments could do was create a factual dispute</w:t>
      </w:r>
    </w:p>
    <w:p>
      <w:pPr>
        <w:spacing w:before="0" w:line="259" w:lineRule="exact"/>
        <w:ind w:left="5807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br w:type="column"/>
      </w:r>
    </w:p>
    <w:p>
      <w:pPr>
        <w:spacing w:before="41" w:line="259" w:lineRule="exact"/>
        <w:ind w:left="20" w:right="639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as to whether defendants complied with the stat-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ute. Because plaintiff stated a cause of action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for  wrongful  foreclosure  based  on  the  pur-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ported failure to comply with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§ 2923.5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before </w:t>
        <w:br/>
      </w:r>
      <w:r>
        <w:rPr>
          <w:rFonts w:ascii="Times New Roman" w:hAnsi="Times New Roman"/>
          <w:color w:val="000000"/>
          <w:spacing w:val="0"/>
          <w:w w:val="104"/>
          <w:position w:val="0"/>
          <w:sz w:val="24"/>
          <w:szCs w:val="24"/>
          <w:u w:val="none"/>
          <w:vertAlign w:val="baseline"/>
        </w:rPr>
        <w:t xml:space="preserve">recordation of the notice of default, the trial </w:t>
      </w: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>court erred in sustaining the demurrer. (Opin-</w:t>
        <w:br/>
      </w:r>
      <w:r>
        <w:rPr>
          <w:rFonts w:ascii="Times New Roman" w:hAnsi="Times New Roman"/>
          <w:color w:val="000000"/>
          <w:spacing w:val="-5"/>
          <w:w w:val="100"/>
          <w:position w:val="0"/>
          <w:sz w:val="24"/>
          <w:szCs w:val="24"/>
          <w:u w:val="none"/>
          <w:vertAlign w:val="baseline"/>
        </w:rPr>
        <w:t>ion by Needham, J., with Jones, P. J., and Brui-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niers, J., concurring.)</w:t>
      </w:r>
    </w:p>
    <w:p>
      <w:pPr>
        <w:spacing w:before="246" w:line="276" w:lineRule="exact"/>
        <w:ind w:left="20"/>
        <w:jc w:val="left"/>
        <w:rPr>
          <w:rFonts w:ascii="Times New Roman Bold" w:hAnsi="Times New Roman Bold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Headnotes</w:t>
      </w:r>
    </w:p>
    <w:p>
      <w:pPr>
        <w:spacing w:before="0" w:line="259" w:lineRule="exact"/>
        <w:ind w:left="20" w:right="783"/>
        <w:jc w:val="both"/>
        <w:rPr>
          <w:rFonts w:ascii="Times New Roman" w:hAnsi="Times New Roman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CALIFORNIA OFFICIAL REPORTS HEAD-</w:t>
        <w:br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NOTES</w:t>
      </w:r>
    </w:p>
    <w:p>
      <w:pPr>
        <w:spacing w:before="245" w:line="276" w:lineRule="exact"/>
        <w:ind w:left="20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 Bold Italic" w:hAnsi="Times New Roman Bold Italic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CA(1)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(1)</w:t>
      </w:r>
    </w:p>
    <w:p>
      <w:pPr>
        <w:spacing w:before="0" w:line="237" w:lineRule="exact"/>
        <w:ind w:left="220" w:right="1204"/>
        <w:jc w:val="both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 xml:space="preserve">Mortgages § 28 &gt; Foreclosure &gt; Offer to Repay </w: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>Debt &gt; Tender of Performance.</w:t>
      </w:r>
    </w:p>
    <w:p>
      <w:pPr>
        <w:spacing w:before="0" w:line="259" w:lineRule="exact"/>
        <w:ind w:left="5807"/>
        <w:jc w:val="both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p>
      <w:pPr>
        <w:spacing w:before="23" w:line="259" w:lineRule="exact"/>
        <w:ind w:left="20" w:right="653"/>
        <w:jc w:val="both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As a general rule, a plaintiff may not challenge 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the propriety of a foreclosure on his or her</w:t>
      </w:r>
    </w:p>
    <w:p>
      <w:pPr>
        <w:spacing w:before="1" w:line="259" w:lineRule="exact"/>
        <w:ind w:left="20" w:right="690"/>
        <w:jc w:val="both"/>
        <w:rPr>
          <w:rFonts w:ascii="Times New Roman Italic" w:hAnsi="Times New Roman Italic"/>
          <w:color w:val="0000FF"/>
          <w:spacing w:val="0"/>
          <w:w w:val="100"/>
          <w:position w:val="0"/>
          <w:u w:val="singl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property without offering to repay what he or 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she borrowed against the property. A valid ten-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der of performance must be of the full debt,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in good faith, unconditional, and with the abil-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ity to perform (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Civ. Code, §§</w:t>
      </w:r>
    </w:p>
    <w:p>
      <w:pPr>
        <w:spacing w:before="1" w:line="259" w:lineRule="exact"/>
        <w:ind w:left="20"/>
        <w:jc w:val="left"/>
        <w:rPr>
          <w:rFonts w:ascii="Times New Roman" w:hAnsi="Times New Roman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Fonts w:ascii="Times New Roman Italic" w:hAnsi="Times New Roman Italic"/>
          <w:color w:val="0000FF"/>
          <w:spacing w:val="-3"/>
          <w:w w:val="100"/>
          <w:position w:val="0"/>
          <w:sz w:val="24"/>
          <w:szCs w:val="24"/>
          <w:u w:val="single"/>
          <w:vertAlign w:val="baseline"/>
        </w:rPr>
        <w:t>1486</w:t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,</w:t>
      </w:r>
      <w:r>
        <w:rPr>
          <w:rFonts w:ascii="Times New Roman Italic" w:hAnsi="Times New Roman Italic"/>
          <w:color w:val="0000FF"/>
          <w:spacing w:val="-3"/>
          <w:w w:val="100"/>
          <w:position w:val="0"/>
          <w:sz w:val="24"/>
          <w:szCs w:val="24"/>
          <w:u w:val="single"/>
          <w:vertAlign w:val="baseline"/>
        </w:rPr>
        <w:t xml:space="preserve"> 1493</w:t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,</w:t>
      </w:r>
      <w:r>
        <w:rPr>
          <w:rFonts w:ascii="Times New Roman Italic" w:hAnsi="Times New Roman Italic"/>
          <w:color w:val="0000FF"/>
          <w:spacing w:val="-3"/>
          <w:w w:val="100"/>
          <w:position w:val="0"/>
          <w:sz w:val="24"/>
          <w:szCs w:val="24"/>
          <w:u w:val="single"/>
          <w:vertAlign w:val="baseline"/>
        </w:rPr>
        <w:t xml:space="preserve"> 1494</w:t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,</w:t>
      </w:r>
      <w:r>
        <w:rPr>
          <w:rFonts w:ascii="Times New Roman Italic" w:hAnsi="Times New Roman Italic"/>
          <w:color w:val="0000FF"/>
          <w:spacing w:val="-3"/>
          <w:w w:val="100"/>
          <w:position w:val="0"/>
          <w:sz w:val="24"/>
          <w:szCs w:val="24"/>
          <w:u w:val="single"/>
          <w:vertAlign w:val="baseline"/>
        </w:rPr>
        <w:t xml:space="preserve"> 1495</w:t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).</w:t>
      </w:r>
    </w:p>
    <w:p>
      <w:pPr>
        <w:spacing w:before="246" w:line="276" w:lineRule="exact"/>
        <w:ind w:left="20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 Bold Italic" w:hAnsi="Times New Roman Bold Italic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CA(2)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(2)</w:t>
      </w:r>
    </w:p>
    <w:p>
      <w:pPr>
        <w:spacing w:before="21" w:line="230" w:lineRule="exact"/>
        <w:ind w:left="220"/>
        <w:jc w:val="left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Mortgages § 28 &gt; Foreclosure &gt; Loan Modification.</w:t>
      </w:r>
    </w:p>
    <w:p>
      <w:pPr>
        <w:spacing w:before="186" w:line="259" w:lineRule="exact"/>
        <w:ind w:left="20" w:right="646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 Italic" w:hAnsi="Times New Roman Italic"/>
          <w:color w:val="0000FF"/>
          <w:spacing w:val="0"/>
          <w:w w:val="101"/>
          <w:position w:val="0"/>
          <w:sz w:val="24"/>
          <w:szCs w:val="24"/>
          <w:u w:val="single"/>
          <w:vertAlign w:val="baseline"/>
        </w:rPr>
        <w:t xml:space="preserve"> Civ. Code, § 2923.6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, does not grant a right to a 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loan modification. To the contrary, it merely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expresses the hope that lenders will offer loan </w:t>
      </w:r>
      <w:r>
        <w:rPr>
          <w:rFonts w:ascii="Times New Roman" w:hAnsi="Times New Roman"/>
          <w:color w:val="000000"/>
          <w:spacing w:val="0"/>
          <w:w w:val="105"/>
          <w:position w:val="0"/>
          <w:sz w:val="24"/>
          <w:szCs w:val="24"/>
          <w:u w:val="none"/>
          <w:vertAlign w:val="baseline"/>
        </w:rPr>
        <w:t>modifications on certain terms and conspicu-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ously does not require lenders to take any ac-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tion. In other words, there is no “duty” under</w:t>
      </w:r>
      <w:r>
        <w:rPr>
          <w:rFonts w:ascii="Times New Roman Italic" w:hAnsi="Times New Roman Italic"/>
          <w:color w:val="0000FF"/>
          <w:spacing w:val="0"/>
          <w:w w:val="101"/>
          <w:position w:val="0"/>
          <w:sz w:val="24"/>
          <w:szCs w:val="24"/>
          <w:u w:val="single"/>
          <w:vertAlign w:val="baseline"/>
        </w:rPr>
        <w:t xml:space="preserve"> § 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>2923.6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to agree to a loan modification.</w:t>
      </w:r>
    </w:p>
    <w:p>
      <w:pPr>
        <w:spacing w:before="245" w:line="276" w:lineRule="exact"/>
        <w:ind w:left="20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 Bold Italic" w:hAnsi="Times New Roman Bold Italic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CA(3)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(3)</w:t>
      </w:r>
    </w:p>
    <w:p>
      <w:pPr>
        <w:spacing w:before="0" w:line="237" w:lineRule="exact"/>
        <w:ind w:left="220" w:right="1300"/>
        <w:jc w:val="both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0"/>
          <w:szCs w:val="24"/>
          <w:u w:val="none"/>
          <w:vertAlign w:val="baseline"/>
        </w:rPr>
        <w:t>Mortgages § 28 &gt; Foreclosure &gt; Notice of De-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fault &gt; Due Diligence.</w:t>
      </w:r>
    </w:p>
    <w:p>
      <w:pPr>
        <w:spacing w:before="183" w:line="259" w:lineRule="exact"/>
        <w:ind w:left="20" w:right="673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Civ. Code, § 2923.5, subd. (a)(1)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, precludes a </w:t>
      </w:r>
      <w:r>
        <w:rPr>
          <w:rFonts w:ascii="Times New Roman" w:hAnsi="Times New Roman"/>
          <w:color w:val="000000"/>
          <w:spacing w:val="0"/>
          <w:w w:val="103"/>
          <w:position w:val="0"/>
          <w:sz w:val="24"/>
          <w:szCs w:val="24"/>
          <w:u w:val="none"/>
          <w:vertAlign w:val="baseline"/>
        </w:rPr>
        <w:t xml:space="preserve">trustee or mortgage servicer from recording a 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notice of default until 30 days after the loan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servicer has made initial contact with the bor-</w:t>
        <w:br/>
      </w: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>rower to assess the borrower’s financial situa-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tion and explore options for avoiding foreclo-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sure, or has satisfied the due diligence</w:t>
      </w:r>
    </w:p>
    <w:p>
      <w:pPr>
        <w:spacing w:before="0" w:line="259" w:lineRule="exact"/>
        <w:ind w:left="20" w:right="675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requirements of the statute. Due diligence re-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quires sending a letter by first-class mail, mak-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ing three attempts to contact the borrower by </w:t>
      </w:r>
    </w:p>
    <w:p>
      <w:pPr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  <w:sectPr>
          <w:type w:val="continuous"/>
          <w:pgSz w:w="12220" w:h="15820"/>
          <w:pgMar w:top="431" w:right="431" w:bottom="431" w:left="431" w:header="720" w:footer="720"/>
          <w:cols w:num="2" w:space="720" w:equalWidth="0">
            <w:col w:w="5647" w:space="160"/>
            <w:col w:w="5409" w:space="160"/>
          </w:cols>
        </w:sectPr>
      </w:pPr>
    </w:p>
    <w:p>
      <w:pPr>
        <w:spacing w:before="0" w:line="230" w:lineRule="exact"/>
        <w:ind w:left="5183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</w:p>
    <w:p>
      <w:pPr>
        <w:spacing w:before="55" w:line="230" w:lineRule="exact"/>
        <w:ind w:left="5183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 xml:space="preserve">Charles Cox </w: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80" style="mso-position-horizontal-relative:page;mso-position-vertical-relative:page;position:absolute;z-index:-251635712" from="66.5pt,223.85pt" to="301pt,223.85pt" o:allowincell="f" strokecolor="black" strokeweight="1.5pt">
            <w10:wrap anchorx="page" anchory="page"/>
          </v:line>
        </w:pic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81" style="mso-position-horizontal-relative:page;mso-position-vertical-relative:page;position:absolute;z-index:-251632640" from="300pt,230.7pt" to="301pt,230.7pt" o:allowincell="f" strokecolor="black" strokeweight="14.22pt">
            <w10:wrap anchorx="page" anchory="page"/>
          </v:line>
        </w:pic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82" style="mso-position-horizontal-relative:page;mso-position-vertical-relative:page;position:absolute;z-index:-251629568" from="66.5pt,237.55pt" to="301pt,237.55pt" o:allowincell="f" strokecolor="black" strokeweight="1.5pt">
            <w10:wrap anchorx="page" anchory="page"/>
          </v:line>
        </w:pic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83" style="mso-position-horizontal-relative:page;mso-position-vertical-relative:page;position:absolute;z-index:-251626496" from="66.5pt,230.7pt" to="67.5pt,230.7pt" o:allowincell="f" strokecolor="black" strokeweight="14.22pt">
            <w10:wrap anchorx="page" anchory="page"/>
          </v:line>
        </w:pict>
      </w:r>
    </w:p>
    <w:p>
      <w:pPr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  <w:sectPr>
          <w:type w:val="continuous"/>
          <w:pgSz w:w="12220" w:h="15820"/>
          <w:pgMar w:top="431" w:right="431" w:bottom="431" w:left="431" w:header="720" w:footer="720"/>
          <w:cols w:space="720"/>
        </w:sectPr>
      </w:pPr>
    </w:p>
    <w:p>
      <w:pPr>
        <w:spacing w:before="178" w:line="230" w:lineRule="exact"/>
        <w:ind w:left="9431"/>
        <w:jc w:val="left"/>
        <w:rPr>
          <w:rFonts w:ascii="Times New Roman" w:hAnsi="Times New Roman"/>
          <w:color w:val="000000"/>
          <w:spacing w:val="0"/>
          <w:w w:val="101"/>
          <w:position w:val="0"/>
          <w:sz w:val="20"/>
          <w:u w:val="none"/>
          <w:vertAlign w:val="baseline"/>
        </w:rPr>
      </w:pPr>
      <w:bookmarkStart w:id="4" w:name="Pg5"/>
      <w:bookmarkEnd w:id="4"/>
      <w:r>
        <w:rPr>
          <w:rFonts w:ascii="Times New Roman" w:hAnsi="Times New Roman"/>
          <w:color w:val="000000"/>
          <w:spacing w:val="0"/>
          <w:w w:val="101"/>
          <w:position w:val="0"/>
          <w:sz w:val="20"/>
          <w:szCs w:val="24"/>
          <w:u w:val="none"/>
          <w:vertAlign w:val="baseline"/>
        </w:rPr>
        <w:t xml:space="preserve">Page 4 of 11 </w:t>
      </w:r>
    </w:p>
    <w:p>
      <w:pPr>
        <w:spacing w:before="10" w:line="230" w:lineRule="exact"/>
        <w:ind w:left="4460"/>
        <w:jc w:val="left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2013 Cal. App. LEXIS 225, *1</w:t>
      </w:r>
    </w:p>
    <w:p>
      <w:pPr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  <w:sectPr>
          <w:pgSz w:w="12220" w:h="15820"/>
          <w:pgMar w:top="431" w:right="431" w:bottom="431" w:left="431" w:header="720" w:footer="720"/>
          <w:cols w:space="720"/>
        </w:sectPr>
      </w:pPr>
    </w:p>
    <w:p>
      <w:pPr>
        <w:spacing w:before="0" w:line="259" w:lineRule="exact"/>
        <w:ind w:left="898"/>
        <w:jc w:val="both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</w:p>
    <w:p>
      <w:pPr>
        <w:spacing w:before="41" w:line="259" w:lineRule="exact"/>
        <w:ind w:left="898" w:right="0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telephone, and sending a certified letter if no re-</w:t>
        <w:br/>
      </w:r>
      <w:r>
        <w:rPr>
          <w:rFonts w:ascii="Times New Roman" w:hAnsi="Times New Roman"/>
          <w:color w:val="000000"/>
          <w:spacing w:val="-4"/>
          <w:w w:val="100"/>
          <w:position w:val="0"/>
          <w:sz w:val="24"/>
          <w:szCs w:val="24"/>
          <w:u w:val="none"/>
          <w:vertAlign w:val="baseline"/>
        </w:rPr>
        <w:t>sponse is received within two weeks of the tele-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phone attempts (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§ 2923.5, subd. (e)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).</w:t>
      </w:r>
    </w:p>
    <w:p>
      <w:pPr>
        <w:spacing w:before="246" w:line="276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 Bold Italic" w:hAnsi="Times New Roman Bold Italic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CA(4)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(4)</w:t>
      </w:r>
    </w:p>
    <w:p>
      <w:pPr>
        <w:spacing w:before="0" w:line="230" w:lineRule="exact"/>
        <w:ind w:left="1098" w:right="451"/>
        <w:jc w:val="both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0"/>
          <w:szCs w:val="24"/>
          <w:u w:val="none"/>
          <w:vertAlign w:val="baseline"/>
        </w:rPr>
        <w:t>Mortgages § 28 &gt; Foreclosure &gt; Notice of De-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fault &gt; Declaration of Compliance &gt; Judicial No-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tice &gt; Facts Reasonably Subject to Dispute.</w:t>
      </w:r>
    </w:p>
    <w:p>
      <w:pPr>
        <w:spacing w:before="185" w:line="259" w:lineRule="exact"/>
        <w:ind w:left="898" w:right="0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 Italic" w:hAnsi="Times New Roman Italic"/>
          <w:color w:val="0000FF"/>
          <w:spacing w:val="-4"/>
          <w:w w:val="100"/>
          <w:position w:val="0"/>
          <w:sz w:val="24"/>
          <w:szCs w:val="24"/>
          <w:u w:val="single"/>
          <w:vertAlign w:val="baseline"/>
        </w:rPr>
        <w:t xml:space="preserve"> Civ. Code, § 2923.5</w:t>
      </w:r>
      <w:r>
        <w:rPr>
          <w:rFonts w:ascii="Times New Roman" w:hAnsi="Times New Roman"/>
          <w:color w:val="000000"/>
          <w:spacing w:val="-4"/>
          <w:w w:val="100"/>
          <w:position w:val="0"/>
          <w:sz w:val="24"/>
          <w:szCs w:val="24"/>
          <w:u w:val="none"/>
          <w:vertAlign w:val="baseline"/>
        </w:rPr>
        <w:t>, requires not only that a dec-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laration of compliance be attached to the no-</w:t>
        <w:br/>
      </w: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>tice of default, but that the bank actually per-</w:t>
        <w:br/>
      </w:r>
      <w:r>
        <w:rPr>
          <w:rFonts w:ascii="Times New Roman" w:hAnsi="Times New Roman"/>
          <w:color w:val="000000"/>
          <w:spacing w:val="0"/>
          <w:w w:val="107"/>
          <w:position w:val="0"/>
          <w:sz w:val="24"/>
          <w:szCs w:val="24"/>
          <w:u w:val="none"/>
          <w:vertAlign w:val="baseline"/>
        </w:rPr>
        <w:t xml:space="preserve">form the underlying acts (i.e., contacting the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borrower or attempting such contact with due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diligence)  that  would  constitute  compliance. </w:t>
        <w:br/>
      </w:r>
      <w:r>
        <w:rPr>
          <w:rFonts w:ascii="Times New Roman" w:hAnsi="Times New Roman"/>
          <w:color w:val="000000"/>
          <w:spacing w:val="-4"/>
          <w:w w:val="100"/>
          <w:position w:val="0"/>
          <w:sz w:val="24"/>
          <w:szCs w:val="24"/>
          <w:u w:val="none"/>
          <w:vertAlign w:val="baseline"/>
        </w:rPr>
        <w:t>Thus, in an action for wrongful foreclosure, ju-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dicial notice could not be taken of defendants’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compliance with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§ 2923.5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. While judicial no-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tice could be properly taken of the existence of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a declaration of compliance, it could not be</w:t>
      </w:r>
    </w:p>
    <w:p>
      <w:pPr>
        <w:spacing w:before="0" w:line="259" w:lineRule="exact"/>
        <w:ind w:left="898" w:right="5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taken of the facts of compliance asserted in the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declaration, at least where the borrower al-</w:t>
      </w:r>
    </w:p>
    <w:p>
      <w:pPr>
        <w:spacing w:before="0" w:line="259" w:lineRule="exact"/>
        <w:ind w:left="898" w:right="49"/>
        <w:jc w:val="both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leged and argued that the declaration was false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and the facts asserted in the declaration were 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reasonably subject to dispute.</w:t>
      </w:r>
    </w:p>
    <w:p>
      <w:pPr>
        <w:spacing w:before="200" w:line="259" w:lineRule="exact"/>
        <w:ind w:left="898" w:right="91"/>
        <w:jc w:val="both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[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Cal. Forms of Pleading and Practice (2013) 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>ch. 555, Trust Deeds and Real Property Mort-</w:t>
        <w:br/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>gages, § 555.52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.]</w:t>
      </w:r>
    </w:p>
    <w:p>
      <w:pPr>
        <w:spacing w:before="0" w:line="259" w:lineRule="exact"/>
        <w:ind w:left="898"/>
        <w:jc w:val="both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1" w:line="259" w:lineRule="exact"/>
        <w:ind w:left="898" w:right="184"/>
        <w:jc w:val="both"/>
        <w:rPr>
          <w:rFonts w:ascii="Times New Roman" w:hAnsi="Times New Roman"/>
          <w:color w:val="000000"/>
          <w:spacing w:val="-2"/>
          <w:w w:val="100"/>
          <w:position w:val="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Counsel: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Arden M. Intengan, in pro. per., for </w: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Plaintiff and Appellant.</w:t>
      </w:r>
    </w:p>
    <w:p>
      <w:pPr>
        <w:spacing w:before="0" w:line="259" w:lineRule="exact"/>
        <w:ind w:left="898"/>
        <w:jc w:val="both"/>
        <w:rPr>
          <w:rFonts w:ascii="Times New Roman" w:hAnsi="Times New Roman"/>
          <w:color w:val="000000"/>
          <w:spacing w:val="-2"/>
          <w:w w:val="100"/>
          <w:position w:val="0"/>
          <w:u w:val="none"/>
          <w:vertAlign w:val="baseline"/>
        </w:rPr>
      </w:pPr>
    </w:p>
    <w:p>
      <w:pPr>
        <w:spacing w:before="1" w:line="259" w:lineRule="exact"/>
        <w:ind w:left="898" w:right="3"/>
        <w:jc w:val="both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Severson &amp; Werson,Jan T. ChiltonandM. Eliza-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beth Holtfor Defendants and Respondents.</w:t>
      </w:r>
    </w:p>
    <w:p>
      <w:pPr>
        <w:spacing w:before="0" w:line="259" w:lineRule="exact"/>
        <w:ind w:left="898"/>
        <w:jc w:val="both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1" w:line="259" w:lineRule="exact"/>
        <w:ind w:left="898" w:right="77"/>
        <w:jc w:val="both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Judges: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Opinion byNeedham, J., withJones, P. 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J., andBruiniers, J., concurring.</w:t>
      </w:r>
    </w:p>
    <w:p>
      <w:pPr>
        <w:spacing w:before="246" w:line="276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Opinion by: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Needham, J.</w:t>
      </w:r>
    </w:p>
    <w:p>
      <w:pPr>
        <w:spacing w:before="0" w:line="230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165" w:line="230" w:lineRule="exact"/>
        <w:ind w:left="978"/>
        <w:jc w:val="left"/>
        <w:rPr>
          <w:rFonts w:ascii="Times New Roman Bold" w:hAnsi="Times New Roman Bold"/>
          <w:color w:val="000000"/>
          <w:spacing w:val="-2"/>
          <w:w w:val="100"/>
          <w:position w:val="0"/>
          <w:sz w:val="2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-2"/>
          <w:w w:val="100"/>
          <w:position w:val="0"/>
          <w:sz w:val="20"/>
          <w:szCs w:val="24"/>
          <w:u w:val="none"/>
          <w:vertAlign w:val="baseline"/>
        </w:rPr>
        <w:t>Opinion</w:t>
      </w:r>
    </w:p>
    <w:p>
      <w:pPr>
        <w:spacing w:before="186" w:line="259" w:lineRule="exact"/>
        <w:ind w:left="898" w:right="84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NEEDHAM, J.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—Arden M. Intengan (Inten-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gan) appeals from a judgment of dismissal en-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tered after the court sustained the demurrer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to her third amended complaint without leave</w:t>
      </w:r>
    </w:p>
    <w:p>
      <w:pPr>
        <w:spacing w:before="1" w:line="259" w:lineRule="exact"/>
        <w:ind w:left="898" w:right="58"/>
        <w:jc w:val="both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>to amend. Essentially, Intengan sought to pre-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clude respondents from foreclosing on her</w:t>
      </w:r>
    </w:p>
    <w:p>
      <w:pPr>
        <w:spacing w:before="1" w:line="259" w:lineRule="exact"/>
        <w:ind w:left="898" w:right="0"/>
        <w:jc w:val="both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property, contending they lack authority to do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so under the relevant deed of trust and notice of</w:t>
      </w:r>
    </w:p>
    <w:p>
      <w:pPr>
        <w:spacing w:before="0" w:line="259" w:lineRule="exact"/>
        <w:ind w:left="5807"/>
        <w:jc w:val="both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br w:type="column"/>
      </w:r>
    </w:p>
    <w:p>
      <w:pPr>
        <w:spacing w:before="41" w:line="259" w:lineRule="exact"/>
        <w:ind w:left="20" w:right="639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default. In this appeal, Intengan argues that the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demurrer should not have been sustained be-</w:t>
        <w:br/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cause she alleged facts sufficient to state a cause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of action, including a claim based on respon-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dents’ alleged failure to contact her or attempt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with due diligence to contact her before re-</w:t>
      </w:r>
    </w:p>
    <w:p>
      <w:pPr>
        <w:spacing w:before="0" w:line="259" w:lineRule="exact"/>
        <w:ind w:left="20" w:right="639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5"/>
          <w:position w:val="0"/>
          <w:sz w:val="24"/>
          <w:szCs w:val="24"/>
          <w:u w:val="none"/>
          <w:vertAlign w:val="baseline"/>
        </w:rPr>
        <w:t>cording the notice of default (</w:t>
      </w:r>
      <w:r>
        <w:rPr>
          <w:rFonts w:ascii="Times New Roman Italic" w:hAnsi="Times New Roman Italic"/>
          <w:color w:val="0000FF"/>
          <w:spacing w:val="0"/>
          <w:w w:val="105"/>
          <w:position w:val="0"/>
          <w:sz w:val="24"/>
          <w:szCs w:val="24"/>
          <w:u w:val="single"/>
          <w:vertAlign w:val="baseline"/>
        </w:rPr>
        <w:t xml:space="preserve"> Civ. Code, § </w:t>
      </w:r>
      <w:r>
        <w:rPr>
          <w:rFonts w:ascii="Times New Roman Italic" w:hAnsi="Times New Roman Italic"/>
          <w:color w:val="0000FF"/>
          <w:spacing w:val="-3"/>
          <w:w w:val="100"/>
          <w:position w:val="0"/>
          <w:sz w:val="24"/>
          <w:szCs w:val="24"/>
          <w:u w:val="single"/>
          <w:vertAlign w:val="baseline"/>
        </w:rPr>
        <w:t>2923.5</w:t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). She also contends the court should have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ruled on her motion to strike the demurrer.</w:t>
      </w:r>
    </w:p>
    <w:p>
      <w:pPr>
        <w:spacing w:before="240" w:line="259" w:lineRule="exact"/>
        <w:ind w:left="20" w:right="694"/>
        <w:jc w:val="both"/>
        <w:rPr>
          <w:rFonts w:ascii="Times New Roman" w:hAnsi="Times New Roman"/>
          <w:color w:val="000000"/>
          <w:spacing w:val="0"/>
          <w:w w:val="103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We will reverse the judgment. In the published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portion of our opinion, we conclude that judi-</w:t>
        <w:br/>
      </w:r>
      <w:r>
        <w:rPr>
          <w:rFonts w:ascii="Times New Roman" w:hAnsi="Times New Roman"/>
          <w:color w:val="000000"/>
          <w:spacing w:val="0"/>
          <w:w w:val="103"/>
          <w:position w:val="0"/>
          <w:sz w:val="24"/>
          <w:szCs w:val="24"/>
          <w:u w:val="none"/>
          <w:vertAlign w:val="baseline"/>
        </w:rPr>
        <w:t>cial notice could not be taken of respondents’</w:t>
      </w:r>
    </w:p>
    <w:p>
      <w:pPr>
        <w:spacing w:before="0" w:line="259" w:lineRule="exact"/>
        <w:ind w:left="20" w:right="721" w:firstLine="79"/>
        <w:jc w:val="left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[*2]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 compliance with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Civil Code section </w:t>
        <w:br/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>2923.5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, and Intengan’s allegations that respon-</w:t>
        <w:br/>
      </w:r>
      <w:r>
        <w:rPr>
          <w:rFonts w:ascii="Times New Roman" w:hAnsi="Times New Roman"/>
          <w:color w:val="000000"/>
          <w:spacing w:val="-4"/>
          <w:w w:val="100"/>
          <w:position w:val="0"/>
          <w:sz w:val="24"/>
          <w:szCs w:val="24"/>
          <w:u w:val="none"/>
          <w:vertAlign w:val="baseline"/>
        </w:rPr>
        <w:t>dents did not comply with the statute were suf-</w:t>
        <w:br/>
      </w:r>
      <w:r>
        <w:rPr>
          <w:rFonts w:ascii="Times New Roman" w:hAnsi="Times New Roman"/>
          <w:color w:val="000000"/>
          <w:spacing w:val="0"/>
          <w:w w:val="104"/>
          <w:position w:val="0"/>
          <w:sz w:val="24"/>
          <w:szCs w:val="24"/>
          <w:u w:val="none"/>
          <w:vertAlign w:val="baseline"/>
        </w:rPr>
        <w:t xml:space="preserve">ficient to state a cause of action for wrongful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foreclosure. In the unpublished portion of the </w:t>
      </w:r>
      <w:r>
        <w:rPr>
          <w:rFonts w:ascii="Times New Roman" w:hAnsi="Times New Roman"/>
          <w:color w:val="000000"/>
          <w:spacing w:val="0"/>
          <w:w w:val="105"/>
          <w:position w:val="0"/>
          <w:sz w:val="24"/>
          <w:szCs w:val="24"/>
          <w:u w:val="none"/>
          <w:vertAlign w:val="baseline"/>
        </w:rPr>
        <w:t xml:space="preserve">opinion, we conclude that Intengan failed to 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state any other cause of action and the court 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did not err in denying leave to amend.</w:t>
      </w:r>
    </w:p>
    <w:p>
      <w:pPr>
        <w:spacing w:before="246" w:line="276" w:lineRule="exact"/>
        <w:ind w:left="20"/>
        <w:jc w:val="left"/>
        <w:rPr>
          <w:rFonts w:ascii="Times New Roman" w:hAnsi="Times New Roman"/>
          <w:color w:val="000000"/>
          <w:spacing w:val="-2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I. FACTS AND PROCEDURAL HISTORY</w:t>
      </w:r>
    </w:p>
    <w:p>
      <w:pPr>
        <w:spacing w:before="238" w:line="259" w:lineRule="exact"/>
        <w:ind w:left="20" w:right="640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On June 26, 2006, Intengan borrowed $696,500 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from Countrywide Bank, N.A. (Countrywide). </w:t>
      </w: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>The loan was secured by a deed of trust on In-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tengan’s real property in Daly City. Under</w:t>
      </w:r>
    </w:p>
    <w:p>
      <w:pPr>
        <w:spacing w:before="0" w:line="259" w:lineRule="exact"/>
        <w:ind w:left="20" w:right="648"/>
        <w:jc w:val="both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the deed of trust, the beneficiary was Mortgage </w: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Electronic Registration Systems, Inc. (MERS), </w:t>
      </w:r>
      <w:r>
        <w:rPr>
          <w:rFonts w:ascii="Times New Roman" w:hAnsi="Times New Roman"/>
          <w:color w:val="000000"/>
          <w:spacing w:val="0"/>
          <w:w w:val="105"/>
          <w:position w:val="0"/>
          <w:sz w:val="24"/>
          <w:szCs w:val="24"/>
          <w:u w:val="none"/>
          <w:vertAlign w:val="baseline"/>
        </w:rPr>
        <w:t>the trustee was respondent ReconTrust Com-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pany, N.A. (ReconTrust), and BAC Home</w:t>
      </w:r>
    </w:p>
    <w:p>
      <w:pPr>
        <w:spacing w:before="0" w:line="259" w:lineRule="exact"/>
        <w:ind w:left="20" w:right="639"/>
        <w:jc w:val="both"/>
        <w:rPr>
          <w:rFonts w:ascii="Times New Roman" w:hAnsi="Times New Roman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Loans Servicing LP (BAC) serviced the note. </w:t>
        <w:br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BAC’s successor is respondentBank of America, </w:t>
        <w:br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N.A.</w:t>
      </w:r>
    </w:p>
    <w:p>
      <w:pPr>
        <w:spacing w:before="240" w:line="259" w:lineRule="exact"/>
        <w:ind w:left="20" w:right="654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On or about December 28, 2010, MERS as-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signed its beneficial interest in Intengan’s deed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of trust to “TheBank of New York Mellonfka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TheBank of New York,as Successor Trustee to-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JPMorgan ChaseBank, N.A., as Trustee for</w:t>
      </w:r>
    </w:p>
    <w:p>
      <w:pPr>
        <w:spacing w:before="0" w:line="259" w:lineRule="exact"/>
        <w:ind w:left="20" w:right="639"/>
        <w:jc w:val="both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the Holders of SAMI II Trust 2006-AR7, Mort-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gage Pass-Through Certificates, Series 2006-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AR7” (Bank of New York).</w:t>
      </w:r>
    </w:p>
    <w:p>
      <w:pPr>
        <w:tabs>
          <w:tab w:val="left" w:pos="102"/>
        </w:tabs>
        <w:spacing w:before="200" w:line="259" w:lineRule="exact"/>
        <w:ind w:left="20" w:right="639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On December 28, 2010, ReconTrust, as agent </w:t>
        <w:br/>
        <w:tab/>
      </w:r>
      <w:r>
        <w:rPr>
          <w:rFonts w:ascii="Times New Roman Bold" w:hAnsi="Times New Roman Bold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[*3]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for the beneficiary under the deed of trust,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recorded a notice of Intengan’s default on In-</w:t>
        <w:br/>
      </w:r>
      <w:r>
        <w:rPr>
          <w:rFonts w:ascii="Times New Roman" w:hAnsi="Times New Roman"/>
          <w:color w:val="000000"/>
          <w:spacing w:val="0"/>
          <w:w w:val="105"/>
          <w:position w:val="0"/>
          <w:sz w:val="24"/>
          <w:szCs w:val="24"/>
          <w:u w:val="none"/>
          <w:vertAlign w:val="baseline"/>
        </w:rPr>
        <w:t>tengan’s loan; the notice of default and elec-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tion to sell under deed of trust indicated that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she was more than $46,000 in arrears. </w:t>
      </w:r>
    </w:p>
    <w:p>
      <w:pPr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  <w:sectPr>
          <w:type w:val="continuous"/>
          <w:pgSz w:w="12220" w:h="15820"/>
          <w:pgMar w:top="431" w:right="431" w:bottom="431" w:left="431" w:header="720" w:footer="720"/>
          <w:cols w:num="2" w:space="720" w:equalWidth="0">
            <w:col w:w="5647" w:space="160"/>
            <w:col w:w="5409" w:space="160"/>
          </w:cols>
        </w:sectPr>
      </w:pPr>
    </w:p>
    <w:p>
      <w:pPr>
        <w:spacing w:before="0" w:line="230" w:lineRule="exact"/>
        <w:ind w:left="5183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</w:p>
    <w:p>
      <w:pPr>
        <w:spacing w:before="50" w:line="230" w:lineRule="exact"/>
        <w:ind w:left="5183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 xml:space="preserve">Charles Cox </w: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84" style="mso-position-horizontal-relative:page;mso-position-vertical-relative:page;position:absolute;z-index:-251597824" from="66.5pt,596.05pt" to="301pt,596.05pt" o:allowincell="f" strokecolor="black" strokeweight="1.5pt">
            <w10:wrap anchorx="page" anchory="page"/>
          </v:line>
        </w:pic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85" style="mso-position-horizontal-relative:page;mso-position-vertical-relative:page;position:absolute;z-index:-251596800" from="300pt,602.9pt" to="301pt,602.9pt" o:allowincell="f" strokecolor="black" strokeweight="14.22pt">
            <w10:wrap anchorx="page" anchory="page"/>
          </v:line>
        </w:pic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86" style="mso-position-horizontal-relative:page;mso-position-vertical-relative:page;position:absolute;z-index:-251595776" from="66.5pt,609.75pt" to="301pt,609.75pt" o:allowincell="f" strokecolor="black" strokeweight="1.5pt">
            <w10:wrap anchorx="page" anchory="page"/>
          </v:line>
        </w:pic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87" style="mso-position-horizontal-relative:page;mso-position-vertical-relative:page;position:absolute;z-index:-251594752" from="66.5pt,602.9pt" to="67.5pt,602.9pt" o:allowincell="f" strokecolor="black" strokeweight="14.22pt">
            <w10:wrap anchorx="page" anchory="page"/>
          </v:line>
        </w:pict>
      </w:r>
    </w:p>
    <w:p>
      <w:pPr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  <w:sectPr>
          <w:type w:val="continuous"/>
          <w:pgSz w:w="12220" w:h="15820"/>
          <w:pgMar w:top="431" w:right="431" w:bottom="431" w:left="431" w:header="720" w:footer="720"/>
          <w:cols w:space="720"/>
        </w:sectPr>
      </w:pPr>
    </w:p>
    <w:p>
      <w:pPr>
        <w:spacing w:before="178" w:line="230" w:lineRule="exact"/>
        <w:ind w:left="9431"/>
        <w:jc w:val="left"/>
        <w:rPr>
          <w:rFonts w:ascii="Times New Roman" w:hAnsi="Times New Roman"/>
          <w:color w:val="000000"/>
          <w:spacing w:val="0"/>
          <w:w w:val="101"/>
          <w:position w:val="0"/>
          <w:sz w:val="20"/>
          <w:u w:val="none"/>
          <w:vertAlign w:val="baseline"/>
        </w:rPr>
      </w:pPr>
      <w:bookmarkStart w:id="5" w:name="Pg6"/>
      <w:bookmarkEnd w:id="5"/>
      <w:r>
        <w:rPr>
          <w:rFonts w:ascii="Times New Roman" w:hAnsi="Times New Roman"/>
          <w:color w:val="000000"/>
          <w:spacing w:val="0"/>
          <w:w w:val="101"/>
          <w:position w:val="0"/>
          <w:sz w:val="20"/>
          <w:szCs w:val="24"/>
          <w:u w:val="none"/>
          <w:vertAlign w:val="baseline"/>
        </w:rPr>
        <w:t xml:space="preserve">Page 5 of 11 </w:t>
      </w:r>
    </w:p>
    <w:p>
      <w:pPr>
        <w:spacing w:before="10" w:line="230" w:lineRule="exact"/>
        <w:ind w:left="4460"/>
        <w:jc w:val="left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2013 Cal. App. LEXIS 225, *3</w:t>
      </w:r>
    </w:p>
    <w:p>
      <w:pPr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  <w:sectPr>
          <w:pgSz w:w="12220" w:h="15820"/>
          <w:pgMar w:top="431" w:right="431" w:bottom="431" w:left="431" w:header="720" w:footer="720"/>
          <w:cols w:space="720"/>
        </w:sectPr>
      </w:pPr>
    </w:p>
    <w:p>
      <w:pPr>
        <w:spacing w:before="0" w:line="259" w:lineRule="exact"/>
        <w:ind w:left="898"/>
        <w:jc w:val="both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</w:p>
    <w:p>
      <w:pPr>
        <w:spacing w:before="41" w:line="259" w:lineRule="exact"/>
        <w:ind w:left="898" w:right="0"/>
        <w:jc w:val="both"/>
        <w:rPr>
          <w:rFonts w:ascii="Times New Roman Italic" w:hAnsi="Times New Roman Italic"/>
          <w:color w:val="0000FF"/>
          <w:spacing w:val="-1"/>
          <w:w w:val="100"/>
          <w:position w:val="0"/>
          <w:u w:val="singl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Purportedly accompanying the notice of default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was a declaration by Samantha Jones, “MLO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Loan Servicing Specialist of BAC Home Loans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Servicing, LP,” in which she states under pen-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alty of perjury thatBank of America“tried with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due diligence to contact the borrower in accor-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dance with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California Civil Code Section</w:t>
      </w:r>
    </w:p>
    <w:p>
      <w:pPr>
        <w:spacing w:before="0" w:line="259" w:lineRule="exact"/>
        <w:ind w:left="898" w:right="102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>2923.5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.” The declaration does not provide any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facts to support this conclusion, such as the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specifics of any attempt to contact Intengan.</w:t>
      </w:r>
    </w:p>
    <w:p>
      <w:pPr>
        <w:spacing w:before="170" w:line="259" w:lineRule="exact"/>
        <w:ind w:left="898" w:right="0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A notice of trustee’s sale was recorded by Re-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conTrust on April 5, 2011, setting a sale date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of April 26, 2011. Intengan does not allege that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the sale occurred, and the respondents’ brief </w:t>
        <w:br/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represents that no sale took place and that Inten-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gan has been in possession of the property for </w:t>
        <w:br/>
      </w: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nearly two years without making payments on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her loan.</w:t>
      </w:r>
    </w:p>
    <w:p>
      <w:pPr>
        <w:spacing w:before="0" w:line="259" w:lineRule="exact"/>
        <w:ind w:left="898"/>
        <w:jc w:val="both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1" w:line="259" w:lineRule="exact"/>
        <w:ind w:left="898" w:right="760"/>
        <w:jc w:val="both"/>
        <w:rPr>
          <w:rFonts w:ascii="Times New Roman Italic" w:hAnsi="Times New Roman Italic"/>
          <w:color w:val="000000"/>
          <w:spacing w:val="-2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A.</w:t>
      </w:r>
      <w:r>
        <w:rPr>
          <w:rFonts w:ascii="Times New Roman Italic" w:hAnsi="Times New Roman Italic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Original, First Amended, and Second </w:t>
      </w:r>
      <w:r>
        <w:rPr>
          <w:rFonts w:ascii="Times New Roman Italic" w:hAnsi="Times New Roman Italic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Amended Complaints</w:t>
      </w:r>
    </w:p>
    <w:p>
      <w:pPr>
        <w:spacing w:before="170" w:line="259" w:lineRule="exact"/>
        <w:ind w:left="898" w:right="21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On April 25, 2011—the day before the sched-</w:t>
        <w:br/>
      </w:r>
      <w:r>
        <w:rPr>
          <w:rFonts w:ascii="Times New Roman" w:hAnsi="Times New Roman"/>
          <w:color w:val="000000"/>
          <w:spacing w:val="0"/>
          <w:w w:val="106"/>
          <w:position w:val="0"/>
          <w:sz w:val="24"/>
          <w:szCs w:val="24"/>
          <w:u w:val="none"/>
          <w:vertAlign w:val="baseline"/>
        </w:rPr>
        <w:t>uled foreclosure sale—Intengan filed a com-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plaint against defendants, including BAC and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ReconTrust,</w:t>
      </w:r>
      <w:r>
        <w:rPr>
          <w:rFonts w:ascii="Times New Roman Bold" w:hAnsi="Times New Roman Bold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[*4]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asserting causes of action for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declaratory relief, injunctive relief, and an ac-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counting. Before any defendant responded, In-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tengan filed a first amended complaint and</w:t>
      </w:r>
    </w:p>
    <w:p>
      <w:pPr>
        <w:spacing w:before="1" w:line="259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then a second amended complaint.</w:t>
      </w:r>
    </w:p>
    <w:p>
      <w:pPr>
        <w:spacing w:before="160" w:line="259" w:lineRule="exact"/>
        <w:ind w:left="898" w:right="0"/>
        <w:jc w:val="both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BAC and ReconTrust filed a demurrer to Inten-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gan’s second amended complaint. The court</w:t>
      </w:r>
    </w:p>
    <w:p>
      <w:pPr>
        <w:spacing w:before="1" w:line="259" w:lineRule="exact"/>
        <w:ind w:left="898" w:right="18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sustained their special demurrer to the first and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second causes of action, with leave to amend </w:t>
      </w:r>
      <w:r>
        <w:rPr>
          <w:rFonts w:ascii="Times New Roman" w:hAnsi="Times New Roman"/>
          <w:color w:val="000000"/>
          <w:spacing w:val="0"/>
          <w:w w:val="103"/>
          <w:position w:val="0"/>
          <w:sz w:val="24"/>
          <w:szCs w:val="24"/>
          <w:u w:val="none"/>
          <w:vertAlign w:val="baseline"/>
        </w:rPr>
        <w:t>in order to state a violation of</w:t>
      </w:r>
      <w:r>
        <w:rPr>
          <w:rFonts w:ascii="Times New Roman Italic" w:hAnsi="Times New Roman Italic"/>
          <w:color w:val="0000FF"/>
          <w:spacing w:val="0"/>
          <w:w w:val="103"/>
          <w:position w:val="0"/>
          <w:sz w:val="24"/>
          <w:szCs w:val="24"/>
          <w:u w:val="single"/>
          <w:vertAlign w:val="baseline"/>
        </w:rPr>
        <w:t xml:space="preserve"> Civil Code sec-</w:t>
        <w:br/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>tion 2923.5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. The court also sustained their</w:t>
      </w:r>
    </w:p>
    <w:p>
      <w:pPr>
        <w:spacing w:before="0" w:line="259" w:lineRule="exact"/>
        <w:ind w:left="898" w:right="271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general demurrer to the third cause of action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for an accounting, without leave to amend.</w:t>
      </w:r>
    </w:p>
    <w:p>
      <w:pPr>
        <w:spacing w:before="246" w:line="276" w:lineRule="exact"/>
        <w:ind w:left="898"/>
        <w:jc w:val="left"/>
        <w:rPr>
          <w:rFonts w:ascii="Times New Roman Italic" w:hAnsi="Times New Roman Italic"/>
          <w:color w:val="000000"/>
          <w:spacing w:val="-2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B.</w:t>
      </w:r>
      <w:r>
        <w:rPr>
          <w:rFonts w:ascii="Times New Roman Italic" w:hAnsi="Times New Roman Italic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Third Amended Complaint</w:t>
      </w:r>
    </w:p>
    <w:p>
      <w:pPr>
        <w:spacing w:before="158" w:line="259" w:lineRule="exact"/>
        <w:ind w:left="898" w:right="0"/>
        <w:jc w:val="both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Intengan filed her third amended complaint in </w:t>
        <w:br/>
      </w:r>
      <w:r>
        <w:rPr>
          <w:rFonts w:ascii="Times New Roman" w:hAnsi="Times New Roman"/>
          <w:color w:val="000000"/>
          <w:spacing w:val="-4"/>
          <w:w w:val="100"/>
          <w:position w:val="0"/>
          <w:sz w:val="24"/>
          <w:szCs w:val="24"/>
          <w:u w:val="none"/>
          <w:vertAlign w:val="baseline"/>
        </w:rPr>
        <w:t>January 2012 against BAC, ReconTrust, and oth-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ers. This time, she purported to assert causes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of action for wrongful foreclosure, fraud, inten-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tional misrepresentation, breach of contract,</w:t>
      </w:r>
    </w:p>
    <w:p>
      <w:pPr>
        <w:spacing w:before="1" w:line="259" w:lineRule="exact"/>
        <w:ind w:left="898" w:right="0"/>
        <w:jc w:val="both"/>
        <w:rPr>
          <w:rFonts w:ascii="Times New Roman Italic" w:hAnsi="Times New Roman Italic"/>
          <w:color w:val="0000FF"/>
          <w:spacing w:val="-1"/>
          <w:w w:val="100"/>
          <w:position w:val="0"/>
          <w:u w:val="single"/>
          <w:vertAlign w:val="baseline"/>
        </w:rPr>
      </w:pP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breach of the implied covenant of good faith and </w: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fair dealing, slander of title, quiet title, declara-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tory relief, violation of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Business and Profes-</w:t>
      </w:r>
    </w:p>
    <w:p>
      <w:pPr>
        <w:spacing w:before="0" w:line="259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>sions Code section 17200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, unjust enrichment,</w:t>
      </w:r>
    </w:p>
    <w:p>
      <w:pPr>
        <w:spacing w:before="0" w:line="259" w:lineRule="exact"/>
        <w:ind w:left="5807"/>
        <w:jc w:val="both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br w:type="column"/>
      </w:r>
    </w:p>
    <w:p>
      <w:pPr>
        <w:spacing w:before="41" w:line="259" w:lineRule="exact"/>
        <w:ind w:left="20" w:right="639"/>
        <w:jc w:val="both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and injunctive relief seeking to enjoin the pend-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ing foreclosure sale.</w:t>
      </w:r>
    </w:p>
    <w:p>
      <w:pPr>
        <w:spacing w:before="200" w:line="259" w:lineRule="exact"/>
        <w:ind w:left="20" w:right="662" w:firstLine="0"/>
        <w:jc w:val="both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In February 2012, respondents filed a demurrer 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to the third amended complaint. Although the </w:t>
      </w:r>
      <w:r>
        <w:rPr>
          <w:rFonts w:ascii="Times New Roman" w:hAnsi="Times New Roman"/>
          <w:color w:val="000000"/>
          <w:spacing w:val="0"/>
          <w:w w:val="107"/>
          <w:position w:val="0"/>
          <w:sz w:val="24"/>
          <w:szCs w:val="24"/>
          <w:u w:val="none"/>
          <w:vertAlign w:val="baseline"/>
        </w:rPr>
        <w:t>demurrer is central to the issues</w:t>
      </w:r>
      <w:r>
        <w:rPr>
          <w:rFonts w:ascii="Times New Roman Bold" w:hAnsi="Times New Roman Bold"/>
          <w:color w:val="000000"/>
          <w:spacing w:val="0"/>
          <w:w w:val="107"/>
          <w:position w:val="0"/>
          <w:sz w:val="24"/>
          <w:szCs w:val="24"/>
          <w:u w:val="none"/>
          <w:vertAlign w:val="baseline"/>
        </w:rPr>
        <w:t xml:space="preserve"> [*5]</w:t>
      </w:r>
      <w:r>
        <w:rPr>
          <w:rFonts w:ascii="Times New Roman" w:hAnsi="Times New Roman"/>
          <w:color w:val="000000"/>
          <w:spacing w:val="0"/>
          <w:w w:val="107"/>
          <w:position w:val="0"/>
          <w:sz w:val="24"/>
          <w:szCs w:val="24"/>
          <w:u w:val="none"/>
          <w:vertAlign w:val="baseline"/>
        </w:rPr>
        <w:t xml:space="preserve"> on ap-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peal, neither Intengan nor respondents in-</w:t>
      </w:r>
    </w:p>
    <w:p>
      <w:pPr>
        <w:spacing w:before="1" w:line="259" w:lineRule="exact"/>
        <w:ind w:left="20" w:right="639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clude the demurrer in the record. The record 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does contain, however, respondents’ request for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judicial notice in support of their demurrer,</w:t>
      </w:r>
    </w:p>
    <w:p>
      <w:pPr>
        <w:spacing w:before="1" w:line="259" w:lineRule="exact"/>
        <w:ind w:left="20" w:right="639"/>
        <w:jc w:val="left"/>
        <w:rPr>
          <w:rFonts w:ascii="Times New Roman" w:hAnsi="Times New Roman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by which they sought judicial notice of the deed </w:t>
        <w:br/>
      </w:r>
      <w:r>
        <w:rPr>
          <w:rFonts w:ascii="Times New Roman" w:hAnsi="Times New Roman"/>
          <w:color w:val="000000"/>
          <w:spacing w:val="-4"/>
          <w:w w:val="100"/>
          <w:position w:val="0"/>
          <w:sz w:val="24"/>
          <w:szCs w:val="24"/>
          <w:u w:val="none"/>
          <w:vertAlign w:val="baseline"/>
        </w:rPr>
        <w:t>of trust on Intengan’s property, the notice of de-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fault, the assignment of the deed of trust to-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Bank of New York,and the notice of trustee’s </w:t>
        <w:br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sale.</w:t>
      </w:r>
    </w:p>
    <w:p>
      <w:pPr>
        <w:spacing w:before="190" w:line="259" w:lineRule="exact"/>
        <w:ind w:left="20" w:right="714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In June 2012, Intengan filed an opposition and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“motion to strike” the demurrer, “on the</w:t>
      </w:r>
    </w:p>
    <w:p>
      <w:pPr>
        <w:spacing w:before="0" w:line="259" w:lineRule="exact"/>
        <w:ind w:left="20" w:right="639"/>
        <w:jc w:val="left"/>
        <w:rPr>
          <w:rFonts w:ascii="Times New Roman" w:hAnsi="Times New Roman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3"/>
          <w:position w:val="0"/>
          <w:sz w:val="24"/>
          <w:szCs w:val="24"/>
          <w:u w:val="none"/>
          <w:vertAlign w:val="baseline"/>
        </w:rPr>
        <w:t xml:space="preserve">grounds that Defendant[]Bank of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America’sDemurrer does not state facts suffi-</w:t>
        <w:br/>
      </w:r>
      <w:r>
        <w:rPr>
          <w:rFonts w:ascii="Times New Roman" w:hAnsi="Times New Roman"/>
          <w:color w:val="000000"/>
          <w:spacing w:val="0"/>
          <w:w w:val="103"/>
          <w:position w:val="0"/>
          <w:sz w:val="24"/>
          <w:szCs w:val="24"/>
          <w:u w:val="none"/>
          <w:vertAlign w:val="baseline"/>
        </w:rPr>
        <w:t xml:space="preserve">cient to constitute a demurrer, is uncertain, is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ambiguous, is unintelligible, is irrelevant, is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false, contains improper matters and/or is not </w:t>
        <w:br/>
      </w:r>
      <w:r>
        <w:rPr>
          <w:rFonts w:ascii="Times New Roman" w:hAnsi="Times New Roman"/>
          <w:color w:val="000000"/>
          <w:spacing w:val="0"/>
          <w:w w:val="103"/>
          <w:position w:val="0"/>
          <w:sz w:val="24"/>
          <w:szCs w:val="24"/>
          <w:u w:val="none"/>
          <w:vertAlign w:val="baseline"/>
        </w:rPr>
        <w:t xml:space="preserve">drawn or filed in conformity with the laws of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California.” She urged that the demurrer mis-</w:t>
        <w:br/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stated facts and ignored the law, and therefore it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should be stricken or denied. The purported </w:t>
        <w:br/>
      </w:r>
      <w:r>
        <w:rPr>
          <w:rFonts w:ascii="Times New Roman" w:hAnsi="Times New Roman"/>
          <w:color w:val="000000"/>
          <w:spacing w:val="-4"/>
          <w:w w:val="100"/>
          <w:position w:val="0"/>
          <w:sz w:val="24"/>
          <w:szCs w:val="24"/>
          <w:u w:val="none"/>
          <w:vertAlign w:val="baseline"/>
        </w:rPr>
        <w:t>motion was not accompanied by a notice of hear-</w:t>
        <w:br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ing.</w:t>
      </w:r>
    </w:p>
    <w:p>
      <w:pPr>
        <w:spacing w:before="190" w:line="259" w:lineRule="exact"/>
        <w:ind w:left="20" w:right="639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The court granted respondents’ request for judi-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cial notice and sustained their demurrer to the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third amended complaint without leave to</w:t>
      </w:r>
    </w:p>
    <w:p>
      <w:pPr>
        <w:spacing w:before="0" w:line="259" w:lineRule="exact"/>
        <w:ind w:left="20" w:right="913"/>
        <w:jc w:val="both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amend. A judgment of dismissal was entered 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on June 15, 2012.</w:t>
      </w:r>
    </w:p>
    <w:p>
      <w:pPr>
        <w:spacing w:before="0" w:line="512" w:lineRule="exact"/>
        <w:ind w:left="20" w:right="3188"/>
        <w:jc w:val="both"/>
        <w:rPr>
          <w:rFonts w:ascii="Times New Roman" w:hAnsi="Times New Roman"/>
          <w:color w:val="000000"/>
          <w:spacing w:val="-2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This appeal followed. </w: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II. DISCUSSION</w:t>
      </w:r>
    </w:p>
    <w:p>
      <w:pPr>
        <w:tabs>
          <w:tab w:val="left" w:pos="110"/>
        </w:tabs>
        <w:spacing w:before="153" w:line="259" w:lineRule="exact"/>
        <w:ind w:left="20" w:right="753"/>
        <w:jc w:val="both"/>
        <w:rPr>
          <w:rFonts w:ascii="Times New Roman" w:hAnsi="Times New Roman"/>
          <w:color w:val="000000"/>
          <w:spacing w:val="-2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As mentioned, Intengan argues that the court </w:t>
        <w:br/>
        <w:tab/>
      </w:r>
      <w:r>
        <w:rPr>
          <w:rFonts w:ascii="Times New Roman Bold" w:hAnsi="Times New Roman Bold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[*6]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erred in sustaining the demurrer and fur-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ther erred in failing to rule on her motion to </w: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strike the demurrer.</w:t>
      </w:r>
    </w:p>
    <w:p>
      <w:pPr>
        <w:spacing w:before="245" w:line="276" w:lineRule="exact"/>
        <w:ind w:left="20"/>
        <w:jc w:val="left"/>
        <w:rPr>
          <w:rFonts w:ascii="Times New Roman Italic" w:hAnsi="Times New Roman Italic"/>
          <w:color w:val="000000"/>
          <w:spacing w:val="-4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4"/>
          <w:w w:val="100"/>
          <w:position w:val="0"/>
          <w:sz w:val="24"/>
          <w:szCs w:val="24"/>
          <w:u w:val="none"/>
          <w:vertAlign w:val="baseline"/>
        </w:rPr>
        <w:t>A.</w:t>
      </w:r>
      <w:r>
        <w:rPr>
          <w:rFonts w:ascii="Times New Roman Italic" w:hAnsi="Times New Roman Italic"/>
          <w:color w:val="000000"/>
          <w:spacing w:val="-4"/>
          <w:w w:val="100"/>
          <w:position w:val="0"/>
          <w:sz w:val="24"/>
          <w:szCs w:val="24"/>
          <w:u w:val="none"/>
          <w:vertAlign w:val="baseline"/>
        </w:rPr>
        <w:t>Demurrer</w:t>
      </w:r>
    </w:p>
    <w:p>
      <w:pPr>
        <w:spacing w:before="198" w:line="259" w:lineRule="exact"/>
        <w:ind w:left="20" w:right="640"/>
        <w:jc w:val="both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 Bold Italic" w:hAnsi="Times New Roman Bold Italic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HN1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In our de novo review of an order sustain-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ing a demurrer, we assume the truth of all</w:t>
      </w:r>
    </w:p>
    <w:p>
      <w:pPr>
        <w:spacing w:before="0" w:line="259" w:lineRule="exact"/>
        <w:ind w:left="20" w:right="735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facts properly pleaded in the complaint or rea-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sonably inferred from the pleading, but not</w:t>
      </w:r>
    </w:p>
    <w:p>
      <w:pPr>
        <w:spacing w:before="0" w:line="259" w:lineRule="exact"/>
        <w:ind w:left="20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mere contentions, deductions, or conclusions of </w:t>
      </w:r>
    </w:p>
    <w:p>
      <w:pPr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  <w:sectPr>
          <w:type w:val="continuous"/>
          <w:pgSz w:w="12220" w:h="15820"/>
          <w:pgMar w:top="431" w:right="431" w:bottom="431" w:left="431" w:header="720" w:footer="720"/>
          <w:cols w:num="2" w:space="720" w:equalWidth="0">
            <w:col w:w="5647" w:space="160"/>
            <w:col w:w="5409" w:space="160"/>
          </w:cols>
        </w:sectPr>
      </w:pPr>
    </w:p>
    <w:p>
      <w:pPr>
        <w:spacing w:before="0" w:line="230" w:lineRule="exact"/>
        <w:ind w:left="5183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50" w:line="230" w:lineRule="exact"/>
        <w:ind w:left="5183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 xml:space="preserve">Charles Cox </w:t>
      </w:r>
    </w:p>
    <w:p>
      <w:pPr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  <w:sectPr>
          <w:type w:val="continuous"/>
          <w:pgSz w:w="12220" w:h="15820"/>
          <w:pgMar w:top="431" w:right="431" w:bottom="431" w:left="431" w:header="720" w:footer="720"/>
          <w:cols w:space="720"/>
        </w:sectPr>
      </w:pPr>
    </w:p>
    <w:p>
      <w:pPr>
        <w:spacing w:before="178" w:line="230" w:lineRule="exact"/>
        <w:ind w:left="9431"/>
        <w:jc w:val="left"/>
        <w:rPr>
          <w:rFonts w:ascii="Times New Roman" w:hAnsi="Times New Roman"/>
          <w:color w:val="000000"/>
          <w:spacing w:val="0"/>
          <w:w w:val="101"/>
          <w:position w:val="0"/>
          <w:sz w:val="20"/>
          <w:u w:val="none"/>
          <w:vertAlign w:val="baseline"/>
        </w:rPr>
      </w:pPr>
      <w:bookmarkStart w:id="6" w:name="Pg7"/>
      <w:bookmarkEnd w:id="6"/>
      <w:r>
        <w:rPr>
          <w:rFonts w:ascii="Times New Roman" w:hAnsi="Times New Roman"/>
          <w:color w:val="000000"/>
          <w:spacing w:val="0"/>
          <w:w w:val="101"/>
          <w:position w:val="0"/>
          <w:sz w:val="20"/>
          <w:szCs w:val="24"/>
          <w:u w:val="none"/>
          <w:vertAlign w:val="baseline"/>
        </w:rPr>
        <w:t xml:space="preserve">Page 6 of 11 </w:t>
      </w:r>
    </w:p>
    <w:p>
      <w:pPr>
        <w:spacing w:before="10" w:line="230" w:lineRule="exact"/>
        <w:ind w:left="4460"/>
        <w:jc w:val="left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2013 Cal. App. LEXIS 225, *6</w:t>
      </w:r>
    </w:p>
    <w:p>
      <w:pPr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  <w:sectPr>
          <w:pgSz w:w="12220" w:h="15820"/>
          <w:pgMar w:top="431" w:right="431" w:bottom="431" w:left="431" w:header="720" w:footer="720"/>
          <w:cols w:space="720"/>
        </w:sectPr>
      </w:pPr>
    </w:p>
    <w:p>
      <w:pPr>
        <w:spacing w:before="0" w:line="259" w:lineRule="exact"/>
        <w:ind w:left="898"/>
        <w:jc w:val="left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</w:p>
    <w:p>
      <w:pPr>
        <w:spacing w:before="41" w:line="259" w:lineRule="exact"/>
        <w:ind w:left="898" w:right="0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law. (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Buller v. Sutter Health</w:t>
      </w:r>
      <w:r>
        <w:rPr>
          <w:rFonts w:ascii="Times New Roman" w:hAnsi="Times New Roman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(2008) 160 </w:t>
        <w:br/>
      </w:r>
      <w:r>
        <w:rPr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Cal.App.4th 981, 985-986 [74 Cal. Rptr. 3d </w:t>
        <w:br/>
      </w:r>
      <w:r>
        <w:rPr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>47]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.) We then determine if those facts are suffi-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cient, as a matter of law, to state a cause of ac-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tion under any legal theory. (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Aguilera v. Hei-</w:t>
        <w:br/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>man</w:t>
      </w:r>
      <w:r>
        <w:rPr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(2009) 174 Cal.App.4th 590, 595 [95 Cal. </w:t>
        <w:br/>
      </w:r>
      <w:r>
        <w:rPr>
          <w:rFonts w:ascii="Times New Roman" w:hAnsi="Times New Roman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>Rptr. 3d 18]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.)</w:t>
      </w:r>
    </w:p>
    <w:p>
      <w:pPr>
        <w:spacing w:before="230" w:line="259" w:lineRule="exact"/>
        <w:ind w:left="898" w:right="51"/>
        <w:jc w:val="both"/>
        <w:rPr>
          <w:rFonts w:ascii="Times New Roman" w:hAnsi="Times New Roman"/>
          <w:color w:val="0000FF"/>
          <w:spacing w:val="0"/>
          <w:w w:val="100"/>
          <w:position w:val="0"/>
          <w:u w:val="singl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In making this determination, we also consider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facts of which the trial court properly took ju-</w:t>
        <w:br/>
      </w: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>dicial notice. (E.g.,</w:t>
      </w:r>
      <w:r>
        <w:rPr>
          <w:rFonts w:ascii="Times New Roman Italic" w:hAnsi="Times New Roman Italic"/>
          <w:color w:val="0000FF"/>
          <w:spacing w:val="0"/>
          <w:w w:val="102"/>
          <w:position w:val="0"/>
          <w:sz w:val="24"/>
          <w:szCs w:val="24"/>
          <w:u w:val="single"/>
          <w:vertAlign w:val="baseline"/>
        </w:rPr>
        <w:t xml:space="preserve"> Avila v. Citrus Community </w:t>
        <w:br/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>College Dist.</w:t>
      </w:r>
      <w:r>
        <w:rPr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(2006) 38 Cal.4th 148, 165, fn.</w:t>
      </w:r>
    </w:p>
    <w:p>
      <w:pPr>
        <w:spacing w:before="1" w:line="259" w:lineRule="exact"/>
        <w:ind w:left="898" w:right="0"/>
        <w:jc w:val="both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FF"/>
          <w:spacing w:val="-3"/>
          <w:w w:val="100"/>
          <w:position w:val="0"/>
          <w:sz w:val="24"/>
          <w:szCs w:val="24"/>
          <w:u w:val="single"/>
          <w:vertAlign w:val="baseline"/>
        </w:rPr>
        <w:t>12 [41 Cal. Rptr. 3d 299, 131 P.3d 383]</w:t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.)</w:t>
      </w:r>
      <w:r>
        <w:rPr>
          <w:rFonts w:ascii="Times New Roman Bold Italic" w:hAnsi="Times New Roman Bold Italic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HN2</w:t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 A </w:t>
      </w:r>
      <w:r>
        <w:rPr>
          <w:rFonts w:ascii="Times New Roman" w:hAnsi="Times New Roman"/>
          <w:color w:val="000000"/>
          <w:spacing w:val="-4"/>
          <w:w w:val="100"/>
          <w:position w:val="0"/>
          <w:sz w:val="24"/>
          <w:szCs w:val="24"/>
          <w:u w:val="none"/>
          <w:vertAlign w:val="baseline"/>
        </w:rPr>
        <w:t>demurrer may be sustained where judicially no-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ticeable facts render the pleading defective</w:t>
      </w:r>
    </w:p>
    <w:p>
      <w:pPr>
        <w:spacing w:before="1" w:line="259" w:lineRule="exact"/>
        <w:ind w:left="898"/>
        <w:jc w:val="left"/>
        <w:rPr>
          <w:rFonts w:ascii="Times New Roman" w:hAnsi="Times New Roman"/>
          <w:color w:val="0000FF"/>
          <w:spacing w:val="0"/>
          <w:w w:val="100"/>
          <w:position w:val="0"/>
          <w:u w:val="singl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(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Evans v. City of Berkeley</w:t>
      </w:r>
      <w:r>
        <w:rPr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(2006) 38 Cal.4th 1,</w:t>
      </w:r>
    </w:p>
    <w:p>
      <w:pPr>
        <w:spacing w:before="0" w:line="259" w:lineRule="exact"/>
        <w:ind w:left="898" w:right="0"/>
        <w:jc w:val="left"/>
        <w:rPr>
          <w:rFonts w:ascii="Times New Roman" w:hAnsi="Times New Roman"/>
          <w:color w:val="0000FF"/>
          <w:spacing w:val="0"/>
          <w:w w:val="100"/>
          <w:position w:val="0"/>
          <w:u w:val="single"/>
          <w:vertAlign w:val="baseline"/>
        </w:rPr>
      </w:pPr>
      <w:r>
        <w:rPr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>6 [40 Cal. Rptr. 3d 205, 129 P.3d 394]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), and al-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legations in the pleading may be disregarded </w:t>
        <w:br/>
      </w: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if they are contrary to facts judicially noticed </w:t>
        <w:br/>
      </w: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>(</w:t>
      </w:r>
      <w:r>
        <w:rPr>
          <w:rFonts w:ascii="Times New Roman Italic" w:hAnsi="Times New Roman Italic"/>
          <w:color w:val="0000FF"/>
          <w:spacing w:val="0"/>
          <w:w w:val="102"/>
          <w:position w:val="0"/>
          <w:sz w:val="24"/>
          <w:szCs w:val="24"/>
          <w:u w:val="single"/>
          <w:vertAlign w:val="baseline"/>
        </w:rPr>
        <w:t xml:space="preserve"> Hoffman v. Smithwoods RV Park, LLC</w:t>
      </w:r>
      <w:r>
        <w:rPr>
          <w:rFonts w:ascii="Times New Roman" w:hAnsi="Times New Roman"/>
          <w:color w:val="0000FF"/>
          <w:spacing w:val="0"/>
          <w:w w:val="102"/>
          <w:position w:val="0"/>
          <w:sz w:val="24"/>
          <w:szCs w:val="24"/>
          <w:u w:val="single"/>
          <w:vertAlign w:val="baseline"/>
        </w:rPr>
        <w:t xml:space="preserve"> (2009) </w:t>
        <w:br/>
      </w:r>
      <w:r>
        <w:rPr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179 Cal.App.4th 390, 400 [102 Cal. Rptr. 3d </w:t>
        <w:br/>
      </w:r>
      <w:r>
        <w:rPr>
          <w:rFonts w:ascii="Times New Roman" w:hAnsi="Times New Roman"/>
          <w:color w:val="0000FF"/>
          <w:spacing w:val="-4"/>
          <w:w w:val="100"/>
          <w:position w:val="0"/>
          <w:sz w:val="24"/>
          <w:szCs w:val="24"/>
          <w:u w:val="single"/>
          <w:vertAlign w:val="baseline"/>
        </w:rPr>
        <w:t>72]</w:t>
      </w:r>
      <w:r>
        <w:rPr>
          <w:rFonts w:ascii="Times New Roman" w:hAnsi="Times New Roman"/>
          <w:color w:val="000000"/>
          <w:spacing w:val="-4"/>
          <w:w w:val="100"/>
          <w:position w:val="0"/>
          <w:sz w:val="24"/>
          <w:szCs w:val="24"/>
          <w:u w:val="none"/>
          <w:vertAlign w:val="baseline"/>
        </w:rPr>
        <w:t>(</w:t>
      </w:r>
      <w:r>
        <w:rPr>
          <w:rFonts w:ascii="Times New Roman Italic" w:hAnsi="Times New Roman Italic"/>
          <w:color w:val="000000"/>
          <w:spacing w:val="-4"/>
          <w:w w:val="100"/>
          <w:position w:val="0"/>
          <w:sz w:val="24"/>
          <w:szCs w:val="24"/>
          <w:u w:val="none"/>
          <w:vertAlign w:val="baseline"/>
        </w:rPr>
        <w:t>Hoffman</w:t>
      </w:r>
      <w:r>
        <w:rPr>
          <w:rFonts w:ascii="Times New Roman" w:hAnsi="Times New Roman"/>
          <w:color w:val="000000"/>
          <w:spacing w:val="-4"/>
          <w:w w:val="100"/>
          <w:position w:val="0"/>
          <w:sz w:val="24"/>
          <w:szCs w:val="24"/>
          <w:u w:val="none"/>
          <w:vertAlign w:val="baseline"/>
        </w:rPr>
        <w:t>); see</w:t>
      </w:r>
      <w:r>
        <w:rPr>
          <w:rFonts w:ascii="Times New Roman Italic" w:hAnsi="Times New Roman Italic"/>
          <w:color w:val="0000FF"/>
          <w:spacing w:val="-4"/>
          <w:w w:val="100"/>
          <w:position w:val="0"/>
          <w:sz w:val="24"/>
          <w:szCs w:val="24"/>
          <w:u w:val="single"/>
          <w:vertAlign w:val="baseline"/>
        </w:rPr>
        <w:t xml:space="preserve"> Fontenot v. Wells Fargo Bank, </w:t>
        <w:br/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>N.A.</w:t>
      </w:r>
      <w:r>
        <w:rPr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(2011) 198 Cal.App.4th 256, 264-265</w:t>
      </w:r>
    </w:p>
    <w:p>
      <w:pPr>
        <w:spacing w:before="0" w:line="259" w:lineRule="exact"/>
        <w:ind w:left="898"/>
        <w:jc w:val="left"/>
        <w:rPr>
          <w:rFonts w:ascii="Times New Roman" w:hAnsi="Times New Roman"/>
          <w:color w:val="000000"/>
          <w:spacing w:val="-2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FF"/>
          <w:spacing w:val="-2"/>
          <w:w w:val="100"/>
          <w:position w:val="0"/>
          <w:sz w:val="24"/>
          <w:szCs w:val="24"/>
          <w:u w:val="single"/>
          <w:vertAlign w:val="baseline"/>
        </w:rPr>
        <w:t>[129 Cal. Rptr. 3d 467]</w: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(</w:t>
      </w:r>
      <w:r>
        <w:rPr>
          <w:rFonts w:ascii="Times New Roman Italic" w:hAnsi="Times New Roman Italic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Fontenot</w: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) [in sustaining</w:t>
      </w:r>
    </w:p>
    <w:p>
      <w:pPr>
        <w:spacing w:before="1" w:line="259" w:lineRule="exact"/>
        <w:ind w:left="898" w:right="109" w:firstLine="65"/>
        <w:jc w:val="both"/>
        <w:rPr>
          <w:rFonts w:ascii="Times New Roman" w:hAnsi="Times New Roman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[*7]</w: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 demurrer, court properly took judicial no-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tice of recorded documents that clarified and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to some extent contradicted plaintiff’s allega-</w:t>
        <w:br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tions]).</w:t>
      </w:r>
    </w:p>
    <w:p>
      <w:pPr>
        <w:spacing w:before="200" w:line="259" w:lineRule="exact"/>
        <w:ind w:left="898" w:right="0"/>
        <w:jc w:val="left"/>
        <w:rPr>
          <w:rFonts w:ascii="Times New Roman" w:hAnsi="Times New Roman"/>
          <w:color w:val="0000FF"/>
          <w:spacing w:val="-1"/>
          <w:w w:val="100"/>
          <w:position w:val="0"/>
          <w:u w:val="single"/>
          <w:vertAlign w:val="baseline"/>
        </w:rPr>
      </w:pPr>
      <w:r>
        <w:rPr>
          <w:rFonts w:ascii="Times New Roman Bold Italic" w:hAnsi="Times New Roman Bold Italic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HN3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In order to prevail on appeal from an or-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der sustaining a demurrer, the appellant must </w:t>
        <w:br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affirmatively demonstrate error. Specifically, the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appellant must show that the facts pleaded are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sufficient to establish every element of a cause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of action and overcome all legal grounds on </w:t>
        <w:br/>
      </w: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which the trial court sustained the demurrer.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(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Cantu v. Resolution Trust Corp.</w:t>
      </w:r>
      <w:r>
        <w:rPr>
          <w:rFonts w:ascii="Times New Roman" w:hAnsi="Times New Roman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(1992) 4</w:t>
      </w:r>
    </w:p>
    <w:p>
      <w:pPr>
        <w:spacing w:before="0" w:line="259" w:lineRule="exact"/>
        <w:ind w:left="898" w:right="35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FF"/>
          <w:spacing w:val="0"/>
          <w:w w:val="101"/>
          <w:position w:val="0"/>
          <w:sz w:val="24"/>
          <w:szCs w:val="24"/>
          <w:u w:val="single"/>
          <w:vertAlign w:val="baseline"/>
        </w:rPr>
        <w:t xml:space="preserve">Cal.App.4th 857, 879-880 [6 Cal. Rptr. 2d </w:t>
        <w:br/>
      </w:r>
      <w:r>
        <w:rPr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>151]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.) We will affirm the ruling if there is any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ground on which the demurrer could have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been properly sustained. (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Debro v. Los Angeles 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>Raiders</w:t>
      </w:r>
      <w:r>
        <w:rPr>
          <w:rFonts w:ascii="Times New Roman" w:hAnsi="Times New Roman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(2001) 92 Cal.App.4th 940, 946 [112 </w:t>
      </w:r>
      <w:r>
        <w:rPr>
          <w:rFonts w:ascii="Times New Roman" w:hAnsi="Times New Roman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>Cal. Rptr. 2d 329]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.)</w:t>
      </w:r>
    </w:p>
    <w:p>
      <w:pPr>
        <w:spacing w:before="245" w:line="276" w:lineRule="exact"/>
        <w:ind w:left="898"/>
        <w:jc w:val="left"/>
        <w:rPr>
          <w:rFonts w:ascii="Times New Roman Italic" w:hAnsi="Times New Roman Italic"/>
          <w:color w:val="000000"/>
          <w:spacing w:val="-2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1.</w:t>
      </w:r>
      <w:r>
        <w:rPr>
          <w:rFonts w:ascii="Times New Roman Italic" w:hAnsi="Times New Roman Italic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Wrongful Foreclosure (First Cause of Action)</w:t>
      </w:r>
    </w:p>
    <w:p>
      <w:pPr>
        <w:spacing w:before="228" w:line="259" w:lineRule="exact"/>
        <w:ind w:left="898" w:right="151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The first purported cause of action in Inten-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gan’s third amended complaint is for “wrong-</w:t>
      </w:r>
    </w:p>
    <w:p>
      <w:pPr>
        <w:spacing w:before="0" w:line="259" w:lineRule="exact"/>
        <w:ind w:left="898" w:right="0"/>
        <w:jc w:val="both"/>
        <w:rPr>
          <w:rFonts w:ascii="Times New Roman" w:hAnsi="Times New Roman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ful foreclosure.” Intengan alleges there was “an </w:t>
        <w:br/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unauthorized Trustee, document irregularities, </w:t>
        <w:br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improper signatories, and [a] defective Notice of</w:t>
      </w:r>
    </w:p>
    <w:p>
      <w:pPr>
        <w:spacing w:before="0" w:line="259" w:lineRule="exact"/>
        <w:ind w:left="5807"/>
        <w:jc w:val="left"/>
        <w:rPr>
          <w:rFonts w:ascii="Times New Roman" w:hAnsi="Times New Roman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br w:type="column"/>
      </w:r>
    </w:p>
    <w:p>
      <w:pPr>
        <w:spacing w:before="41" w:line="259" w:lineRule="exact"/>
        <w:ind w:left="20" w:right="640" w:firstLine="0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Default”; she further alleges that “due to the 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chain of assignments, it is now unknown and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doubtful who is the current lender/beneficiary/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assignee with legal authority and standing re-</w:t>
        <w:br/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garding the mortgage on [the]</w:t>
      </w:r>
      <w:r>
        <w:rPr>
          <w:rFonts w:ascii="Times New Roman Bold" w:hAnsi="Times New Roman Bold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 [*8]</w: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 subject prop-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erty.” Intengan also claims that BAC and</w:t>
      </w:r>
    </w:p>
    <w:p>
      <w:pPr>
        <w:spacing w:before="0" w:line="259" w:lineRule="exact"/>
        <w:ind w:left="20" w:right="729"/>
        <w:jc w:val="both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ReconTrust failed to comply with a number of 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Civil Code sections regulating nonjudicial</w:t>
      </w:r>
    </w:p>
    <w:p>
      <w:pPr>
        <w:spacing w:before="1" w:line="259" w:lineRule="exact"/>
        <w:ind w:left="20" w:right="701"/>
        <w:jc w:val="left"/>
        <w:rPr>
          <w:rFonts w:ascii="Times New Roman" w:hAnsi="Times New Roman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foreclosures, including the requirement of con-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tacting the borrower, or attempting to do so </w:t>
        <w:br/>
      </w: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>with due diligence, under</w:t>
      </w:r>
      <w:r>
        <w:rPr>
          <w:rFonts w:ascii="Times New Roman Italic" w:hAnsi="Times New Roman Italic"/>
          <w:color w:val="0000FF"/>
          <w:spacing w:val="0"/>
          <w:w w:val="102"/>
          <w:position w:val="0"/>
          <w:sz w:val="24"/>
          <w:szCs w:val="24"/>
          <w:u w:val="single"/>
          <w:vertAlign w:val="baseline"/>
        </w:rPr>
        <w:t xml:space="preserve"> Civil Code section </w:t>
        <w:br/>
      </w:r>
      <w:r>
        <w:rPr>
          <w:rFonts w:ascii="Times New Roman Italic" w:hAnsi="Times New Roman Italic"/>
          <w:color w:val="0000FF"/>
          <w:spacing w:val="-3"/>
          <w:w w:val="100"/>
          <w:position w:val="0"/>
          <w:sz w:val="24"/>
          <w:szCs w:val="24"/>
          <w:u w:val="single"/>
          <w:vertAlign w:val="baseline"/>
        </w:rPr>
        <w:t>2923.5</w:t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.</w:t>
      </w:r>
    </w:p>
    <w:p>
      <w:pPr>
        <w:spacing w:before="246" w:line="276" w:lineRule="exact"/>
        <w:ind w:left="20"/>
        <w:jc w:val="left"/>
        <w:rPr>
          <w:rFonts w:ascii="Times New Roman Italic" w:hAnsi="Times New Roman Italic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a.</w:t>
      </w:r>
      <w:r>
        <w:rPr>
          <w:rFonts w:ascii="Times New Roman Italic" w:hAnsi="Times New Roman Italic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Failure to tender</w:t>
      </w:r>
    </w:p>
    <w:p>
      <w:pPr>
        <w:spacing w:before="198" w:line="259" w:lineRule="exact"/>
        <w:ind w:left="20" w:right="881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 Bold Italic" w:hAnsi="Times New Roman Bold Italic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HN4 CA(1)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(1)As a general rule, a plaintiff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may not challenge the propriety of a foreclo-</w:t>
      </w:r>
    </w:p>
    <w:p>
      <w:pPr>
        <w:spacing w:before="1" w:line="259" w:lineRule="exact"/>
        <w:ind w:left="20" w:right="639"/>
        <w:jc w:val="both"/>
        <w:rPr>
          <w:rFonts w:ascii="Times New Roman Italic" w:hAnsi="Times New Roman Italic"/>
          <w:color w:val="0000FF"/>
          <w:spacing w:val="-1"/>
          <w:w w:val="100"/>
          <w:position w:val="0"/>
          <w:u w:val="single"/>
          <w:vertAlign w:val="baseline"/>
        </w:rPr>
      </w:pPr>
      <w:r>
        <w:rPr>
          <w:rFonts w:ascii="Times New Roman" w:hAnsi="Times New Roman"/>
          <w:color w:val="000000"/>
          <w:spacing w:val="-4"/>
          <w:w w:val="100"/>
          <w:position w:val="0"/>
          <w:sz w:val="24"/>
          <w:szCs w:val="24"/>
          <w:u w:val="none"/>
          <w:vertAlign w:val="baseline"/>
        </w:rPr>
        <w:t>sure on his or her property without offering to re-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pay what he or she borrowed against the prop-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erty. (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Karlsen v. American Sav. &amp; Loan</w:t>
      </w:r>
    </w:p>
    <w:p>
      <w:pPr>
        <w:spacing w:before="0" w:line="259" w:lineRule="exact"/>
        <w:ind w:left="20" w:right="694"/>
        <w:jc w:val="both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>Assn.</w:t>
      </w:r>
      <w:r>
        <w:rPr>
          <w:rFonts w:ascii="Times New Roman" w:hAnsi="Times New Roman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(1971) 15 Cal.App.3d 112, 117 [92 Cal-</w:t>
        <w:br/>
      </w:r>
      <w:r>
        <w:rPr>
          <w:rFonts w:ascii="Times New Roman" w:hAnsi="Times New Roman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>.Rptr. 851]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[judgment on the pleadings properly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granted where plaintiff attempted to set aside </w:t>
      </w:r>
      <w:r>
        <w:rPr>
          <w:rFonts w:ascii="Times New Roman" w:hAnsi="Times New Roman"/>
          <w:color w:val="000000"/>
          <w:spacing w:val="0"/>
          <w:w w:val="103"/>
          <w:position w:val="0"/>
          <w:sz w:val="24"/>
          <w:szCs w:val="24"/>
          <w:u w:val="none"/>
          <w:vertAlign w:val="baseline"/>
        </w:rPr>
        <w:t>trustee’s sale for lack of adequate notice, be-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cause “[a] valid and viable tender of pay-</w:t>
      </w:r>
    </w:p>
    <w:p>
      <w:pPr>
        <w:spacing w:before="0" w:line="259" w:lineRule="exact"/>
        <w:ind w:left="20" w:right="640"/>
        <w:jc w:val="both"/>
        <w:rPr>
          <w:rFonts w:ascii="Times New Roman Italic" w:hAnsi="Times New Roman Italic"/>
          <w:color w:val="0000FF"/>
          <w:spacing w:val="-1"/>
          <w:w w:val="100"/>
          <w:position w:val="0"/>
          <w:u w:val="singl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ment of the indebtedness owing is essential to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an action to cancel a voidable sale under a deed 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of trust”]; see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United States Cold Storage v.</w:t>
      </w:r>
    </w:p>
    <w:p>
      <w:pPr>
        <w:spacing w:before="1" w:line="259" w:lineRule="exact"/>
        <w:ind w:left="20" w:right="639"/>
        <w:jc w:val="both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 Italic" w:hAnsi="Times New Roman Italic"/>
          <w:color w:val="0000FF"/>
          <w:spacing w:val="-2"/>
          <w:w w:val="100"/>
          <w:position w:val="0"/>
          <w:sz w:val="24"/>
          <w:szCs w:val="24"/>
          <w:u w:val="single"/>
          <w:vertAlign w:val="baseline"/>
        </w:rPr>
        <w:t>Great Western Savings &amp; Loan Assn.</w:t>
      </w:r>
      <w:r>
        <w:rPr>
          <w:rFonts w:ascii="Times New Roman" w:hAnsi="Times New Roman"/>
          <w:color w:val="0000FF"/>
          <w:spacing w:val="-2"/>
          <w:w w:val="100"/>
          <w:position w:val="0"/>
          <w:sz w:val="24"/>
          <w:szCs w:val="24"/>
          <w:u w:val="single"/>
          <w:vertAlign w:val="baseline"/>
        </w:rPr>
        <w:t xml:space="preserve"> (1985) 165 </w:t>
        <w:br/>
      </w:r>
      <w:r>
        <w:rPr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Cal.App.3d 1214, 1222-1223 [212 Cal. Rptr. </w:t>
        <w:br/>
      </w:r>
      <w:r>
        <w:rPr>
          <w:rFonts w:ascii="Times New Roman" w:hAnsi="Times New Roman"/>
          <w:color w:val="0000FF"/>
          <w:spacing w:val="0"/>
          <w:w w:val="103"/>
          <w:position w:val="0"/>
          <w:sz w:val="24"/>
          <w:szCs w:val="24"/>
          <w:u w:val="single"/>
          <w:vertAlign w:val="baseline"/>
        </w:rPr>
        <w:t>232]</w:t>
      </w:r>
      <w:r>
        <w:rPr>
          <w:rFonts w:ascii="Times New Roman" w:hAnsi="Times New Roman"/>
          <w:color w:val="000000"/>
          <w:spacing w:val="0"/>
          <w:w w:val="103"/>
          <w:position w:val="0"/>
          <w:sz w:val="24"/>
          <w:szCs w:val="24"/>
          <w:u w:val="none"/>
          <w:vertAlign w:val="baseline"/>
        </w:rPr>
        <w:t>[“the law is long-established that a</w:t>
      </w:r>
      <w:r>
        <w:rPr>
          <w:rFonts w:ascii="Times New Roman Italic" w:hAnsi="Times New Roman Italic"/>
          <w:color w:val="000000"/>
          <w:spacing w:val="0"/>
          <w:w w:val="103"/>
          <w:position w:val="0"/>
          <w:sz w:val="24"/>
          <w:szCs w:val="24"/>
          <w:u w:val="none"/>
          <w:vertAlign w:val="baseline"/>
        </w:rPr>
        <w:t>trust-</w:t>
        <w:br/>
      </w:r>
      <w:r>
        <w:rPr>
          <w:rFonts w:ascii="Times New Roman Italic" w:hAnsi="Times New Roman Italic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or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or his successor must tender the obligation in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full as a prerequisite to [a] challenge of the</w:t>
      </w:r>
    </w:p>
    <w:p>
      <w:pPr>
        <w:spacing w:before="1" w:line="259" w:lineRule="exact"/>
        <w:ind w:left="20" w:right="639"/>
        <w:jc w:val="both"/>
        <w:rPr>
          <w:rFonts w:ascii="Times New Roman" w:hAnsi="Times New Roman"/>
          <w:color w:val="0000FF"/>
          <w:spacing w:val="-1"/>
          <w:w w:val="100"/>
          <w:position w:val="0"/>
          <w:u w:val="single"/>
          <w:vertAlign w:val="baseline"/>
        </w:rPr>
      </w:pPr>
      <w:r>
        <w:rPr>
          <w:rFonts w:ascii="Times New Roman" w:hAnsi="Times New Roman"/>
          <w:color w:val="000000"/>
          <w:spacing w:val="-4"/>
          <w:w w:val="100"/>
          <w:position w:val="0"/>
          <w:sz w:val="24"/>
          <w:szCs w:val="24"/>
          <w:u w:val="none"/>
          <w:vertAlign w:val="baseline"/>
        </w:rPr>
        <w:t>foreclosure sale”];</w:t>
      </w:r>
      <w:r>
        <w:rPr>
          <w:rFonts w:ascii="Times New Roman Italic" w:hAnsi="Times New Roman Italic"/>
          <w:color w:val="0000FF"/>
          <w:spacing w:val="-4"/>
          <w:w w:val="100"/>
          <w:position w:val="0"/>
          <w:sz w:val="24"/>
          <w:szCs w:val="24"/>
          <w:u w:val="single"/>
          <w:vertAlign w:val="baseline"/>
        </w:rPr>
        <w:t xml:space="preserve"> FPCI RE-HAB 01 v. E &amp; G In-</w:t>
        <w:br/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>vestments, Ltd.</w:t>
      </w:r>
      <w:r>
        <w:rPr>
          <w:rFonts w:ascii="Times New Roman" w:hAnsi="Times New Roman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(1989) 207 Cal.App.3d 1018,</w:t>
      </w:r>
    </w:p>
    <w:p>
      <w:pPr>
        <w:spacing w:before="0" w:line="259" w:lineRule="exact"/>
        <w:ind w:left="20" w:right="640"/>
        <w:jc w:val="both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>1021-1022 [255 Cal. Rptr. 157]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[tender rule is 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based on “the</w:t>
      </w:r>
      <w:r>
        <w:rPr>
          <w:rFonts w:ascii="Times New Roman Bold" w:hAnsi="Times New Roman Bold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[*9]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equitable maxim that a court 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of equity will not order a useless act per-</w:t>
      </w:r>
    </w:p>
    <w:p>
      <w:pPr>
        <w:spacing w:before="1" w:line="259" w:lineRule="exact"/>
        <w:ind w:left="20" w:right="639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formed</w:t>
      </w:r>
      <w:r>
        <w:rPr>
          <w:rFonts w:ascii="Arial" w:hAnsi="Arial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…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[¶]</w:t>
      </w:r>
      <w:r>
        <w:rPr>
          <w:rFonts w:ascii="Arial" w:hAnsi="Arial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…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if plaintiffs could not have re-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deemed the property had the sale procedures </w:t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been proper, any irregularities in the sale did not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result in damages to the plaintiffs”].)</w:t>
      </w:r>
    </w:p>
    <w:p>
      <w:pPr>
        <w:spacing w:before="200" w:line="259" w:lineRule="exact"/>
        <w:ind w:left="20" w:right="655"/>
        <w:jc w:val="left"/>
        <w:rPr>
          <w:rFonts w:ascii="Times New Roman Italic" w:hAnsi="Times New Roman Italic"/>
          <w:color w:val="0000FF"/>
          <w:spacing w:val="0"/>
          <w:w w:val="100"/>
          <w:position w:val="0"/>
          <w:u w:val="singl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Intengan’s third amended complaint alleges her 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willingness “to tender the appropriate and rea-</w:t>
        <w:br/>
      </w:r>
      <w:r>
        <w:rPr>
          <w:rFonts w:ascii="Times New Roman" w:hAnsi="Times New Roman"/>
          <w:color w:val="000000"/>
          <w:spacing w:val="0"/>
          <w:w w:val="103"/>
          <w:position w:val="0"/>
          <w:sz w:val="24"/>
          <w:szCs w:val="24"/>
          <w:u w:val="none"/>
          <w:vertAlign w:val="baseline"/>
        </w:rPr>
        <w:t xml:space="preserve">sonable mortgage payments.” That allegation, 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however, is plainly insufficient. A valid ten-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der of performance must be of the full debt, in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good faith, unconditional, and with the abil-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ity to perform. (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Civ. Code, §§</w:t>
      </w:r>
    </w:p>
    <w:p>
      <w:pPr>
        <w:spacing w:before="0" w:line="259" w:lineRule="exact"/>
        <w:ind w:left="20"/>
        <w:jc w:val="left"/>
        <w:rPr>
          <w:rFonts w:ascii="Times New Roman" w:hAnsi="Times New Roman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Fonts w:ascii="Times New Roman Italic" w:hAnsi="Times New Roman Italic"/>
          <w:color w:val="0000FF"/>
          <w:spacing w:val="-3"/>
          <w:w w:val="100"/>
          <w:position w:val="0"/>
          <w:sz w:val="24"/>
          <w:szCs w:val="24"/>
          <w:u w:val="single"/>
          <w:vertAlign w:val="baseline"/>
        </w:rPr>
        <w:t>1486</w:t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,</w:t>
      </w:r>
      <w:r>
        <w:rPr>
          <w:rFonts w:ascii="Times New Roman Italic" w:hAnsi="Times New Roman Italic"/>
          <w:color w:val="0000FF"/>
          <w:spacing w:val="-3"/>
          <w:w w:val="100"/>
          <w:position w:val="0"/>
          <w:sz w:val="24"/>
          <w:szCs w:val="24"/>
          <w:u w:val="single"/>
          <w:vertAlign w:val="baseline"/>
        </w:rPr>
        <w:t xml:space="preserve"> 1493</w:t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,</w:t>
      </w:r>
      <w:r>
        <w:rPr>
          <w:rFonts w:ascii="Times New Roman Italic" w:hAnsi="Times New Roman Italic"/>
          <w:color w:val="0000FF"/>
          <w:spacing w:val="-3"/>
          <w:w w:val="100"/>
          <w:position w:val="0"/>
          <w:sz w:val="24"/>
          <w:szCs w:val="24"/>
          <w:u w:val="single"/>
          <w:vertAlign w:val="baseline"/>
        </w:rPr>
        <w:t xml:space="preserve"> 1494</w:t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,</w:t>
      </w:r>
      <w:r>
        <w:rPr>
          <w:rFonts w:ascii="Times New Roman Italic" w:hAnsi="Times New Roman Italic"/>
          <w:color w:val="0000FF"/>
          <w:spacing w:val="-3"/>
          <w:w w:val="100"/>
          <w:position w:val="0"/>
          <w:sz w:val="24"/>
          <w:szCs w:val="24"/>
          <w:u w:val="single"/>
          <w:vertAlign w:val="baseline"/>
        </w:rPr>
        <w:t xml:space="preserve"> 1495</w:t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.) </w:t>
      </w:r>
    </w:p>
    <w:p>
      <w:pPr>
        <w:rPr>
          <w:rFonts w:ascii="Times New Roman" w:hAnsi="Times New Roman"/>
          <w:color w:val="000000"/>
          <w:spacing w:val="-3"/>
          <w:w w:val="100"/>
          <w:position w:val="0"/>
          <w:u w:val="none"/>
          <w:vertAlign w:val="baseline"/>
        </w:rPr>
        <w:sectPr>
          <w:type w:val="continuous"/>
          <w:pgSz w:w="12220" w:h="15820"/>
          <w:pgMar w:top="431" w:right="431" w:bottom="431" w:left="431" w:header="720" w:footer="720"/>
          <w:cols w:num="2" w:space="720" w:equalWidth="0">
            <w:col w:w="5647" w:space="160"/>
            <w:col w:w="5409" w:space="160"/>
          </w:cols>
        </w:sectPr>
      </w:pPr>
    </w:p>
    <w:p>
      <w:pPr>
        <w:spacing w:before="0" w:line="230" w:lineRule="exact"/>
        <w:ind w:left="5183"/>
        <w:jc w:val="left"/>
        <w:rPr>
          <w:rFonts w:ascii="Times New Roman" w:hAnsi="Times New Roman"/>
          <w:color w:val="000000"/>
          <w:spacing w:val="-3"/>
          <w:w w:val="100"/>
          <w:position w:val="0"/>
          <w:u w:val="none"/>
          <w:vertAlign w:val="baseline"/>
        </w:rPr>
      </w:pPr>
    </w:p>
    <w:p>
      <w:pPr>
        <w:spacing w:before="50" w:line="230" w:lineRule="exact"/>
        <w:ind w:left="5183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 xml:space="preserve">Charles Cox </w:t>
      </w:r>
    </w:p>
    <w:p>
      <w:pPr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  <w:sectPr>
          <w:type w:val="continuous"/>
          <w:pgSz w:w="12220" w:h="15820"/>
          <w:pgMar w:top="431" w:right="431" w:bottom="431" w:left="431" w:header="720" w:footer="720"/>
          <w:cols w:space="720"/>
        </w:sectPr>
      </w:pPr>
    </w:p>
    <w:p>
      <w:pPr>
        <w:spacing w:before="178" w:line="230" w:lineRule="exact"/>
        <w:ind w:left="9432"/>
        <w:jc w:val="left"/>
        <w:rPr>
          <w:rFonts w:ascii="Times New Roman" w:hAnsi="Times New Roman"/>
          <w:color w:val="000000"/>
          <w:spacing w:val="0"/>
          <w:w w:val="101"/>
          <w:position w:val="0"/>
          <w:sz w:val="20"/>
          <w:u w:val="none"/>
          <w:vertAlign w:val="baseline"/>
        </w:rPr>
      </w:pPr>
      <w:bookmarkStart w:id="7" w:name="Pg8"/>
      <w:bookmarkEnd w:id="7"/>
      <w:r>
        <w:rPr>
          <w:rFonts w:ascii="Times New Roman" w:hAnsi="Times New Roman"/>
          <w:color w:val="000000"/>
          <w:spacing w:val="0"/>
          <w:w w:val="101"/>
          <w:position w:val="0"/>
          <w:sz w:val="20"/>
          <w:szCs w:val="24"/>
          <w:u w:val="none"/>
          <w:vertAlign w:val="baseline"/>
        </w:rPr>
        <w:t xml:space="preserve">Page 7 of 11 </w:t>
      </w:r>
    </w:p>
    <w:p>
      <w:pPr>
        <w:spacing w:before="10" w:line="230" w:lineRule="exact"/>
        <w:ind w:left="4460"/>
        <w:jc w:val="left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2013 Cal. App. LEXIS 225, *9</w:t>
      </w:r>
    </w:p>
    <w:p>
      <w:pPr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  <w:sectPr>
          <w:pgSz w:w="12220" w:h="15820"/>
          <w:pgMar w:top="431" w:right="431" w:bottom="431" w:left="431" w:header="720" w:footer="720"/>
          <w:cols w:space="720"/>
        </w:sectPr>
      </w:pPr>
    </w:p>
    <w:p>
      <w:pPr>
        <w:spacing w:before="0" w:line="259" w:lineRule="exact"/>
        <w:ind w:left="898"/>
        <w:jc w:val="left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</w:p>
    <w:p>
      <w:pPr>
        <w:spacing w:before="41" w:line="259" w:lineRule="exact"/>
        <w:ind w:left="898" w:right="0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Intengan’s third amended complaint also as-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serts that “tender is not required inasmuch as </w:t>
        <w:br/>
      </w:r>
      <w:r>
        <w:rPr>
          <w:rFonts w:ascii="Times New Roman" w:hAnsi="Times New Roman"/>
          <w:color w:val="000000"/>
          <w:spacing w:val="-4"/>
          <w:w w:val="100"/>
          <w:position w:val="0"/>
          <w:sz w:val="24"/>
          <w:szCs w:val="24"/>
          <w:u w:val="none"/>
          <w:vertAlign w:val="baseline"/>
        </w:rPr>
        <w:t xml:space="preserve">there is [a] void foreclosure, not a voidable one.” </w:t>
        <w:br/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(See</w:t>
      </w:r>
      <w:r>
        <w:rPr>
          <w:rFonts w:ascii="Times New Roman Italic" w:hAnsi="Times New Roman Italic"/>
          <w:color w:val="0000FF"/>
          <w:spacing w:val="-2"/>
          <w:w w:val="100"/>
          <w:position w:val="0"/>
          <w:sz w:val="24"/>
          <w:szCs w:val="24"/>
          <w:u w:val="single"/>
          <w:vertAlign w:val="baseline"/>
        </w:rPr>
        <w:t xml:space="preserve"> Dimock v. Emerald Properties</w:t>
      </w:r>
      <w:r>
        <w:rPr>
          <w:rFonts w:ascii="Times New Roman" w:hAnsi="Times New Roman"/>
          <w:color w:val="0000FF"/>
          <w:spacing w:val="-2"/>
          <w:w w:val="100"/>
          <w:position w:val="0"/>
          <w:sz w:val="24"/>
          <w:szCs w:val="24"/>
          <w:u w:val="single"/>
          <w:vertAlign w:val="baseline"/>
        </w:rPr>
        <w:t xml:space="preserve"> (2000) 81 </w:t>
        <w:br/>
      </w:r>
      <w:r>
        <w:rPr>
          <w:rFonts w:ascii="Times New Roman" w:hAnsi="Times New Roman"/>
          <w:color w:val="0000FF"/>
          <w:spacing w:val="0"/>
          <w:w w:val="104"/>
          <w:position w:val="0"/>
          <w:sz w:val="24"/>
          <w:szCs w:val="24"/>
          <w:u w:val="single"/>
          <w:vertAlign w:val="baseline"/>
        </w:rPr>
        <w:t xml:space="preserve">Cal.App.4th 868, 877-878 [97 Cal. Rptr. 2d </w:t>
        <w:br/>
      </w:r>
      <w:r>
        <w:rPr>
          <w:rFonts w:ascii="Times New Roman" w:hAnsi="Times New Roman"/>
          <w:color w:val="0000FF"/>
          <w:spacing w:val="0"/>
          <w:w w:val="101"/>
          <w:position w:val="0"/>
          <w:sz w:val="24"/>
          <w:szCs w:val="24"/>
          <w:u w:val="single"/>
          <w:vertAlign w:val="baseline"/>
        </w:rPr>
        <w:t>255]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.) However, Intengan does not allege that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she was fraudulently induced into the loan;</w:t>
      </w:r>
    </w:p>
    <w:p>
      <w:pPr>
        <w:spacing w:before="0" w:line="259" w:lineRule="exact"/>
        <w:ind w:left="898" w:right="0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nor does she otherwise attack the validity of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the debt. Nor do her allegations indicate a de-</w:t>
        <w:br/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fect in the foreclosure procedure that would ren-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der a resulting sale void</w:t>
      </w:r>
      <w:r>
        <w:rPr>
          <w:rFonts w:ascii="Times New Roman Italic" w:hAnsi="Times New Roman Italic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on its face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, particu-</w:t>
      </w:r>
    </w:p>
    <w:p>
      <w:pPr>
        <w:spacing w:before="0" w:line="259" w:lineRule="exact"/>
        <w:ind w:left="898" w:right="0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larly when considered in light of the documents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that were judicially noticed. On the other</w:t>
      </w:r>
    </w:p>
    <w:p>
      <w:pPr>
        <w:spacing w:before="0" w:line="259" w:lineRule="exact"/>
        <w:ind w:left="898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hand, as we shall discuss</w:t>
      </w:r>
      <w:r>
        <w:rPr>
          <w:rFonts w:ascii="Times New Roman Italic" w:hAnsi="Times New Roman Italic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post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, Intengan has</w:t>
      </w:r>
    </w:p>
    <w:p>
      <w:pPr>
        <w:spacing w:before="0" w:line="259" w:lineRule="exact"/>
        <w:ind w:left="898" w:right="85" w:firstLine="79"/>
        <w:jc w:val="both"/>
        <w:rPr>
          <w:rFonts w:ascii="Times New Roman Italic" w:hAnsi="Times New Roman Italic"/>
          <w:color w:val="0000FF"/>
          <w:spacing w:val="-1"/>
          <w:w w:val="100"/>
          <w:position w:val="0"/>
          <w:u w:val="single"/>
          <w:vertAlign w:val="baseline"/>
        </w:rPr>
      </w:pPr>
      <w:r>
        <w:rPr>
          <w:rFonts w:ascii="Times New Roman Bold" w:hAnsi="Times New Roman Bold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[*10]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 alleged a defect in the foreclosure pro-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cedure—the failure to comply with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Civil</w:t>
      </w:r>
    </w:p>
    <w:p>
      <w:pPr>
        <w:spacing w:before="0" w:line="259" w:lineRule="exact"/>
        <w:ind w:left="898" w:right="0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 Italic" w:hAnsi="Times New Roman Italic"/>
          <w:color w:val="0000FF"/>
          <w:spacing w:val="-3"/>
          <w:w w:val="100"/>
          <w:position w:val="0"/>
          <w:sz w:val="24"/>
          <w:szCs w:val="24"/>
          <w:u w:val="single"/>
          <w:vertAlign w:val="baseline"/>
        </w:rPr>
        <w:t>Code section 2923.5</w:t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—which, if true, would ren-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der the foreclosure either void or voidable.</w:t>
      </w:r>
    </w:p>
    <w:p>
      <w:pPr>
        <w:spacing w:before="0" w:line="259" w:lineRule="exact"/>
        <w:ind w:left="898" w:right="0"/>
        <w:jc w:val="both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4"/>
          <w:w w:val="100"/>
          <w:position w:val="0"/>
          <w:sz w:val="24"/>
          <w:szCs w:val="24"/>
          <w:u w:val="none"/>
          <w:vertAlign w:val="baseline"/>
        </w:rPr>
        <w:t>Whether or not this would remove the need to al-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lege tender is an issue we need not address,</w:t>
      </w:r>
    </w:p>
    <w:p>
      <w:pPr>
        <w:spacing w:before="0" w:line="259" w:lineRule="exact"/>
        <w:ind w:left="898" w:right="32"/>
        <w:jc w:val="both"/>
        <w:rPr>
          <w:rFonts w:ascii="Times New Roman" w:hAnsi="Times New Roman"/>
          <w:color w:val="000000"/>
          <w:spacing w:val="-2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since an allegation of tender is unnecessary for </w: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another reason.</w:t>
      </w:r>
    </w:p>
    <w:p>
      <w:pPr>
        <w:spacing w:before="141" w:line="259" w:lineRule="exact"/>
        <w:ind w:left="898" w:right="0" w:firstLine="0"/>
        <w:jc w:val="left"/>
        <w:rPr>
          <w:rFonts w:ascii="Times New Roman" w:hAnsi="Times New Roman"/>
          <w:color w:val="0000FF"/>
          <w:spacing w:val="0"/>
          <w:w w:val="100"/>
          <w:position w:val="0"/>
          <w:u w:val="singl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According to the allegations of the third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amended complaint—as well as representations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in the respondents’ brief—no foreclosure sale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had occurred as of the time of the ruling on the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demurrer. While the tender requirement may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apply to causes of action to</w:t>
      </w:r>
      <w:r>
        <w:rPr>
          <w:rFonts w:ascii="Times New Roman Italic" w:hAnsi="Times New Roman Italic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set aside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a foreclo-</w:t>
        <w:br/>
      </w:r>
      <w:r>
        <w:rPr>
          <w:rFonts w:ascii="Times New Roman" w:hAnsi="Times New Roman"/>
          <w:color w:val="000000"/>
          <w:spacing w:val="0"/>
          <w:w w:val="105"/>
          <w:position w:val="0"/>
          <w:sz w:val="24"/>
          <w:szCs w:val="24"/>
          <w:u w:val="none"/>
          <w:vertAlign w:val="baseline"/>
        </w:rPr>
        <w:t xml:space="preserve">sure sale, a number of California and federal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courts have held or suggested that it does not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apply to actions seeking to</w:t>
      </w:r>
      <w:r>
        <w:rPr>
          <w:rFonts w:ascii="Times New Roman Italic" w:hAnsi="Times New Roman Italic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enjoin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a foreclosure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sale—at least where the lenders had alleg-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edly not complied with a condition precedent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to foreclosure. (See, e.g.,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Pfeifer v. Countrywide </w:t>
        <w:br/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>Home Loans, Inc.</w:t>
      </w:r>
      <w:r>
        <w:rPr>
          <w:rFonts w:ascii="Times New Roman" w:hAnsi="Times New Roman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(2012) 211 Cal.App.4th </w:t>
        <w:br/>
      </w:r>
      <w:r>
        <w:rPr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>1250, 1280-1281 [150 Cal. Rptr. 3d 673]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[fail-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ure to allege tender of full amount owed did </w:t>
        <w:br/>
      </w:r>
      <w:r>
        <w:rPr>
          <w:rFonts w:ascii="Times New Roman" w:hAnsi="Times New Roman"/>
          <w:color w:val="000000"/>
          <w:spacing w:val="0"/>
          <w:w w:val="104"/>
          <w:position w:val="0"/>
          <w:sz w:val="24"/>
          <w:szCs w:val="24"/>
          <w:u w:val="none"/>
          <w:vertAlign w:val="baseline"/>
        </w:rPr>
        <w:t xml:space="preserve">not bar declaratory relief or injunctive relief </w:t>
        <w:br/>
      </w: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based on wrongful foreclosure, where lenders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had not yet foreclosed and borrowers alleged </w:t>
        <w:br/>
      </w:r>
      <w:r>
        <w:rPr>
          <w:rFonts w:ascii="Times New Roman" w:hAnsi="Times New Roman"/>
          <w:color w:val="000000"/>
          <w:spacing w:val="0"/>
          <w:w w:val="104"/>
          <w:position w:val="0"/>
          <w:sz w:val="24"/>
          <w:szCs w:val="24"/>
          <w:u w:val="none"/>
          <w:vertAlign w:val="baseline"/>
        </w:rPr>
        <w:t xml:space="preserve">that lenders had not complied with servicing </w:t>
        <w:br/>
      </w:r>
      <w:r>
        <w:rPr>
          <w:rFonts w:ascii="Times New Roman" w:hAnsi="Times New Roman"/>
          <w:color w:val="000000"/>
          <w:spacing w:val="0"/>
          <w:w w:val="106"/>
          <w:position w:val="0"/>
          <w:sz w:val="24"/>
          <w:szCs w:val="24"/>
          <w:u w:val="none"/>
          <w:vertAlign w:val="baseline"/>
        </w:rPr>
        <w:t xml:space="preserve">regulations that were a </w:t>
      </w:r>
      <w:r>
        <w:rPr>
          <w:rFonts w:ascii="Times New Roman Bold" w:hAnsi="Times New Roman Bold"/>
          <w:color w:val="000000"/>
          <w:spacing w:val="0"/>
          <w:w w:val="103"/>
          <w:position w:val="0"/>
          <w:sz w:val="24"/>
          <w:szCs w:val="24"/>
          <w:u w:val="none"/>
          <w:vertAlign w:val="baseline"/>
        </w:rPr>
        <w:t>[*11]</w:t>
      </w:r>
      <w:r>
        <w:rPr>
          <w:rFonts w:ascii="Times New Roman" w:hAnsi="Times New Roman"/>
          <w:color w:val="000000"/>
          <w:spacing w:val="0"/>
          <w:w w:val="103"/>
          <w:position w:val="0"/>
          <w:sz w:val="24"/>
          <w:szCs w:val="24"/>
          <w:u w:val="none"/>
          <w:vertAlign w:val="baseline"/>
        </w:rPr>
        <w:t xml:space="preserve"> condition prec-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edent to foreclosure];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Mabry v. Superior </w:t>
        <w:br/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>Court</w:t>
      </w:r>
      <w:r>
        <w:rPr>
          <w:rFonts w:ascii="Times New Roman" w:hAnsi="Times New Roman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(2010) 185 Cal.App.4th 208, 225 [110 </w:t>
        <w:br/>
      </w:r>
      <w:r>
        <w:rPr>
          <w:rFonts w:ascii="Times New Roman" w:hAnsi="Times New Roman"/>
          <w:color w:val="0000FF"/>
          <w:spacing w:val="0"/>
          <w:w w:val="102"/>
          <w:position w:val="0"/>
          <w:sz w:val="24"/>
          <w:szCs w:val="24"/>
          <w:u w:val="single"/>
          <w:vertAlign w:val="baseline"/>
        </w:rPr>
        <w:t>Cal. Rptr. 3d 201]</w:t>
      </w: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>(</w:t>
      </w:r>
      <w:r>
        <w:rPr>
          <w:rFonts w:ascii="Times New Roman Italic" w:hAnsi="Times New Roman Italic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>Mabry</w:t>
      </w: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>) [borrower not re-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quired to tender full amount of indebtedness in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seeking to enjoin foreclosure sale based on al-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leged failure to comply with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Civ. Code, § </w:t>
        <w:br/>
      </w:r>
      <w:r>
        <w:rPr>
          <w:rFonts w:ascii="Times New Roman Italic" w:hAnsi="Times New Roman Italic"/>
          <w:color w:val="0000FF"/>
          <w:spacing w:val="-2"/>
          <w:w w:val="100"/>
          <w:position w:val="0"/>
          <w:sz w:val="24"/>
          <w:szCs w:val="24"/>
          <w:u w:val="single"/>
          <w:vertAlign w:val="baseline"/>
        </w:rPr>
        <w:t>2923.5</w: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];</w:t>
      </w:r>
      <w:r>
        <w:rPr>
          <w:rFonts w:ascii="Times New Roman Italic" w:hAnsi="Times New Roman Italic"/>
          <w:color w:val="0000FF"/>
          <w:spacing w:val="-2"/>
          <w:w w:val="100"/>
          <w:position w:val="0"/>
          <w:sz w:val="24"/>
          <w:szCs w:val="24"/>
          <w:u w:val="single"/>
          <w:vertAlign w:val="baseline"/>
        </w:rPr>
        <w:t xml:space="preserve"> Barrionuevo v. Chase Bank, N.A</w:t>
      </w:r>
      <w:r>
        <w:rPr>
          <w:rFonts w:ascii="Times New Roman" w:hAnsi="Times New Roman"/>
          <w:color w:val="0000FF"/>
          <w:spacing w:val="-2"/>
          <w:w w:val="100"/>
          <w:position w:val="0"/>
          <w:sz w:val="24"/>
          <w:szCs w:val="24"/>
          <w:u w:val="single"/>
          <w:vertAlign w:val="baseline"/>
        </w:rPr>
        <w:t xml:space="preserve"> . (N.D-</w:t>
        <w:br/>
      </w:r>
      <w:r>
        <w:rPr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>.Cal. 2012) 885 F.Supp.2d 964, 969-970 &amp;</w:t>
      </w:r>
    </w:p>
    <w:p>
      <w:pPr>
        <w:spacing w:before="0" w:line="259" w:lineRule="exact"/>
        <w:ind w:left="5807"/>
        <w:jc w:val="left"/>
        <w:rPr>
          <w:rFonts w:ascii="Times New Roman" w:hAnsi="Times New Roman"/>
          <w:color w:val="0000FF"/>
          <w:spacing w:val="0"/>
          <w:w w:val="100"/>
          <w:position w:val="0"/>
          <w:u w:val="single"/>
          <w:vertAlign w:val="baseline"/>
        </w:rPr>
      </w:pPr>
      <w:r>
        <w:rPr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br w:type="column"/>
      </w:r>
    </w:p>
    <w:p>
      <w:pPr>
        <w:spacing w:before="41" w:line="259" w:lineRule="exact"/>
        <w:ind w:left="20" w:right="689"/>
        <w:jc w:val="left"/>
        <w:rPr>
          <w:rFonts w:ascii="Times New Roman" w:hAnsi="Times New Roman"/>
          <w:color w:val="000000"/>
          <w:spacing w:val="-2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>fn. 4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(</w:t>
      </w:r>
      <w:r>
        <w:rPr>
          <w:rFonts w:ascii="Times New Roman Italic" w:hAnsi="Times New Roman Italic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Barrionuevo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) [no tender requirement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where foreclosure sale had not yet occurred, in 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case where noncompliance with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Civ. Code, § </w:t>
      </w:r>
      <w:r>
        <w:rPr>
          <w:rFonts w:ascii="Times New Roman Italic" w:hAnsi="Times New Roman Italic"/>
          <w:color w:val="0000FF"/>
          <w:spacing w:val="-2"/>
          <w:w w:val="100"/>
          <w:position w:val="0"/>
          <w:sz w:val="24"/>
          <w:szCs w:val="24"/>
          <w:u w:val="single"/>
          <w:vertAlign w:val="baseline"/>
        </w:rPr>
        <w:t>2923.5</w: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was alleged].)</w:t>
      </w:r>
    </w:p>
    <w:p>
      <w:pPr>
        <w:spacing w:before="246" w:line="276" w:lineRule="exact"/>
        <w:ind w:left="20"/>
        <w:jc w:val="left"/>
        <w:rPr>
          <w:rFonts w:ascii="Times New Roman Italic" w:hAnsi="Times New Roman Italic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b.</w:t>
      </w:r>
      <w:r>
        <w:rPr>
          <w:rFonts w:ascii="Times New Roman Italic" w:hAnsi="Times New Roman Italic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Wrongful foreclosure theories</w:t>
      </w:r>
    </w:p>
    <w:p>
      <w:pPr>
        <w:spacing w:before="198" w:line="259" w:lineRule="exact"/>
        <w:ind w:left="20" w:right="639"/>
        <w:jc w:val="left"/>
        <w:rPr>
          <w:rFonts w:ascii="Times New Roman" w:hAnsi="Times New Roman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Intengan contends that the foreclosing benefi-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ciary  under  the  deed  of  trust,Bank  of  New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York,has not been shown to have standing to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foreclose. She alleges: “Defendants made trans-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fers, assignments of the subject loan and that </w:t>
        <w:br/>
      </w: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>due to the chain of assignments, it is now un-</w:t>
        <w:br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known and doubtful who is the current lender/ </w:t>
        <w:br/>
      </w:r>
      <w:r>
        <w:rPr>
          <w:rFonts w:ascii="Times New Roman" w:hAnsi="Times New Roman"/>
          <w:color w:val="000000"/>
          <w:spacing w:val="0"/>
          <w:w w:val="103"/>
          <w:position w:val="0"/>
          <w:sz w:val="24"/>
          <w:szCs w:val="24"/>
          <w:u w:val="none"/>
          <w:vertAlign w:val="baseline"/>
        </w:rPr>
        <w:t xml:space="preserve">beneficiary/assignee with legal authority and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standing regarding the mortgage on the sub-</w:t>
        <w:br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ject property.”</w:t>
      </w:r>
    </w:p>
    <w:p>
      <w:pPr>
        <w:spacing w:before="200" w:line="259" w:lineRule="exact"/>
        <w:ind w:left="20" w:right="639" w:firstLine="0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Intengan fails to allege wrongful foreclosure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on this ground. The records of which the court </w:t>
        <w:br/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took judicial notice, without Intengan’s objec-</w:t>
        <w:br/>
      </w: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tion, identify the foreclosing beneficiary to be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theBank of New York.</w:t>
      </w:r>
      <w:r>
        <w:rPr>
          <w:rFonts w:ascii="Times New Roman Bold" w:hAnsi="Times New Roman Bold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[*12]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Specifically, the </w:t>
        <w:br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recorded deed of trust names MERS as the origi-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nal beneficiary, the recorded assignment of</w:t>
      </w:r>
    </w:p>
    <w:p>
      <w:pPr>
        <w:spacing w:before="0" w:line="259" w:lineRule="exact"/>
        <w:ind w:left="20" w:right="639"/>
        <w:jc w:val="both"/>
        <w:rPr>
          <w:rFonts w:ascii="Times New Roman" w:hAnsi="Times New Roman"/>
          <w:color w:val="000000"/>
          <w:spacing w:val="-2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the deed of trust assigns all beneficial interest </w:t>
      </w: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under the deed of trust from MERS toBank of 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New Yorkas the new beneficiary, and the no-</w:t>
        <w:br/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tice of trustee sale was dated and recorded after-</w:t>
        <w:br/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Bank of New Yorkbecame the beneficiary.</w:t>
      </w:r>
    </w:p>
    <w:p>
      <w:pPr>
        <w:spacing w:before="0" w:line="259" w:lineRule="exact"/>
        <w:ind w:left="20" w:right="695"/>
        <w:jc w:val="left"/>
        <w:rPr>
          <w:rFonts w:ascii="Times New Roman" w:hAnsi="Times New Roman"/>
          <w:color w:val="000000"/>
          <w:spacing w:val="0"/>
          <w:w w:val="105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(See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Fontenot, supra</w:t>
      </w:r>
      <w:r>
        <w:rPr>
          <w:rFonts w:ascii="Times New Roman" w:hAnsi="Times New Roman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, 198 Cal.App.4th at pp. </w:t>
      </w:r>
      <w:r>
        <w:rPr>
          <w:rFonts w:ascii="Times New Roman" w:hAnsi="Times New Roman"/>
          <w:color w:val="0000FF"/>
          <w:spacing w:val="0"/>
          <w:w w:val="101"/>
          <w:position w:val="0"/>
          <w:sz w:val="24"/>
          <w:szCs w:val="24"/>
          <w:u w:val="single"/>
          <w:vertAlign w:val="baseline"/>
        </w:rPr>
        <w:t>264-265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[court may take judicial notice of the 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fact of the existence and legal effect of legally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operative documents, such as the identity of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the beneficiary designated in the deed of trust, </w:t>
      </w:r>
      <w:r>
        <w:rPr>
          <w:rFonts w:ascii="Times New Roman" w:hAnsi="Times New Roman"/>
          <w:color w:val="000000"/>
          <w:spacing w:val="0"/>
          <w:w w:val="105"/>
          <w:position w:val="0"/>
          <w:sz w:val="24"/>
          <w:szCs w:val="24"/>
          <w:u w:val="none"/>
          <w:vertAlign w:val="baseline"/>
        </w:rPr>
        <w:t>where not subject to reasonable dis-</w:t>
      </w:r>
    </w:p>
    <w:p>
      <w:pPr>
        <w:spacing w:before="0" w:line="259" w:lineRule="exact"/>
        <w:ind w:left="20" w:right="640"/>
        <w:jc w:val="left"/>
        <w:rPr>
          <w:rFonts w:ascii="Times New Roman" w:hAnsi="Times New Roman"/>
          <w:color w:val="000000"/>
          <w:spacing w:val="0"/>
          <w:w w:val="103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pute];</w:t>
      </w:r>
      <w:r>
        <w:rPr>
          <w:rFonts w:ascii="Times New Roman Italic" w:hAnsi="Times New Roman Italic"/>
          <w:color w:val="0000FF"/>
          <w:spacing w:val="-3"/>
          <w:w w:val="100"/>
          <w:position w:val="0"/>
          <w:sz w:val="24"/>
          <w:szCs w:val="24"/>
          <w:u w:val="single"/>
          <w:vertAlign w:val="baseline"/>
        </w:rPr>
        <w:t xml:space="preserve"> Scott v.JPMorgan ChaseBank, N.A.</w:t>
      </w:r>
      <w:r>
        <w:rPr>
          <w:rFonts w:ascii="Times New Roman" w:hAnsi="Times New Roman"/>
          <w:color w:val="0000FF"/>
          <w:spacing w:val="-3"/>
          <w:w w:val="100"/>
          <w:position w:val="0"/>
          <w:sz w:val="24"/>
          <w:szCs w:val="24"/>
          <w:u w:val="single"/>
          <w:vertAlign w:val="baseline"/>
        </w:rPr>
        <w:t xml:space="preserve"> (Mar. </w:t>
        <w:br/>
      </w:r>
      <w:r>
        <w:rPr>
          <w:rFonts w:ascii="Times New Roman" w:hAnsi="Times New Roman"/>
          <w:color w:val="0000FF"/>
          <w:spacing w:val="-2"/>
          <w:w w:val="100"/>
          <w:position w:val="0"/>
          <w:sz w:val="24"/>
          <w:szCs w:val="24"/>
          <w:u w:val="single"/>
          <w:vertAlign w:val="baseline"/>
        </w:rPr>
        <w:t xml:space="preserve">18, 2013, A132741) 214 Cal.App.4th ___ [2013 </w:t>
        <w:br/>
      </w:r>
      <w:r>
        <w:rPr>
          <w:rFonts w:ascii="Times New Roman" w:hAnsi="Times New Roman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>Cal.App.Lexis 211]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.) While Intengan’s plead-</w:t>
        <w:br/>
      </w:r>
      <w:r>
        <w:rPr>
          <w:rFonts w:ascii="Times New Roman" w:hAnsi="Times New Roman"/>
          <w:color w:val="000000"/>
          <w:spacing w:val="0"/>
          <w:w w:val="104"/>
          <w:position w:val="0"/>
          <w:sz w:val="24"/>
          <w:szCs w:val="24"/>
          <w:u w:val="none"/>
          <w:vertAlign w:val="baseline"/>
        </w:rPr>
        <w:t xml:space="preserve">ing includes the unsupported conclusion that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there was no assignment of the deed of trust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in favor of “TheBank of New York Mellonfka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TheBank of New Yorkas Trustee,” the recorded </w:t>
        <w:br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assignment of which the court took judicial no-</w:t>
        <w:br/>
      </w:r>
      <w:r>
        <w:rPr>
          <w:rFonts w:ascii="Times New Roman" w:hAnsi="Times New Roman"/>
          <w:color w:val="000000"/>
          <w:spacing w:val="0"/>
          <w:w w:val="104"/>
          <w:position w:val="0"/>
          <w:sz w:val="24"/>
          <w:szCs w:val="24"/>
          <w:u w:val="none"/>
          <w:vertAlign w:val="baseline"/>
        </w:rPr>
        <w:t>tice shows there was, and Intengan neither al-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leges nor argues facts from which the assign-</w:t>
        <w:br/>
      </w:r>
      <w:r>
        <w:rPr>
          <w:rFonts w:ascii="Times New Roman" w:hAnsi="Times New Roman"/>
          <w:color w:val="000000"/>
          <w:spacing w:val="0"/>
          <w:w w:val="103"/>
          <w:position w:val="0"/>
          <w:sz w:val="24"/>
          <w:szCs w:val="24"/>
          <w:u w:val="none"/>
          <w:vertAlign w:val="baseline"/>
        </w:rPr>
        <w:t>ment might be inferred to be invalid.</w:t>
      </w:r>
    </w:p>
    <w:p>
      <w:pPr>
        <w:spacing w:before="1" w:line="259" w:lineRule="exact"/>
        <w:ind w:left="20" w:right="648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(See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Fontenot, supra</w:t>
      </w:r>
      <w:r>
        <w:rPr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, at pp. 264-265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.) Under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these circumstances, the judicially noticed facts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contradict the conclusory allegations</w:t>
      </w:r>
      <w:r>
        <w:rPr>
          <w:rFonts w:ascii="Times New Roman Bold" w:hAnsi="Times New Roman Bold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[*13]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of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the third amended complaint, and those allega-</w:t>
      </w:r>
    </w:p>
    <w:p>
      <w:pPr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  <w:sectPr>
          <w:type w:val="continuous"/>
          <w:pgSz w:w="12220" w:h="15820"/>
          <w:pgMar w:top="431" w:right="431" w:bottom="431" w:left="431" w:header="720" w:footer="720"/>
          <w:cols w:num="2" w:space="720" w:equalWidth="0">
            <w:col w:w="5647" w:space="160"/>
            <w:col w:w="5409" w:space="160"/>
          </w:cols>
        </w:sectPr>
      </w:pPr>
    </w:p>
    <w:p>
      <w:pPr>
        <w:spacing w:before="0" w:line="230" w:lineRule="exact"/>
        <w:ind w:left="5183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</w:p>
    <w:p>
      <w:pPr>
        <w:spacing w:before="50" w:line="230" w:lineRule="exact"/>
        <w:ind w:left="5183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 xml:space="preserve">Charles Cox </w:t>
      </w:r>
    </w:p>
    <w:p>
      <w:pPr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  <w:sectPr>
          <w:type w:val="continuous"/>
          <w:pgSz w:w="12220" w:h="15820"/>
          <w:pgMar w:top="431" w:right="431" w:bottom="431" w:left="431" w:header="720" w:footer="720"/>
          <w:cols w:space="720"/>
        </w:sectPr>
      </w:pPr>
    </w:p>
    <w:p>
      <w:pPr>
        <w:spacing w:before="178" w:line="230" w:lineRule="exact"/>
        <w:ind w:left="9431"/>
        <w:jc w:val="left"/>
        <w:rPr>
          <w:rFonts w:ascii="Times New Roman" w:hAnsi="Times New Roman"/>
          <w:color w:val="000000"/>
          <w:spacing w:val="0"/>
          <w:w w:val="101"/>
          <w:position w:val="0"/>
          <w:sz w:val="20"/>
          <w:u w:val="none"/>
          <w:vertAlign w:val="baseline"/>
        </w:rPr>
      </w:pPr>
      <w:bookmarkStart w:id="8" w:name="Pg9"/>
      <w:bookmarkEnd w:id="8"/>
      <w:r>
        <w:rPr>
          <w:rFonts w:ascii="Times New Roman" w:hAnsi="Times New Roman"/>
          <w:color w:val="000000"/>
          <w:spacing w:val="0"/>
          <w:w w:val="101"/>
          <w:position w:val="0"/>
          <w:sz w:val="20"/>
          <w:szCs w:val="24"/>
          <w:u w:val="none"/>
          <w:vertAlign w:val="baseline"/>
        </w:rPr>
        <w:t xml:space="preserve">Page 8 of 11 </w:t>
      </w:r>
    </w:p>
    <w:p>
      <w:pPr>
        <w:spacing w:before="10" w:line="230" w:lineRule="exact"/>
        <w:ind w:left="4410"/>
        <w:jc w:val="left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2013 Cal. App. LEXIS 225, *13</w:t>
      </w:r>
    </w:p>
    <w:p>
      <w:pPr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  <w:sectPr>
          <w:pgSz w:w="12220" w:h="15820"/>
          <w:pgMar w:top="431" w:right="431" w:bottom="431" w:left="431" w:header="720" w:footer="720"/>
          <w:cols w:space="720"/>
        </w:sectPr>
      </w:pPr>
    </w:p>
    <w:p>
      <w:pPr>
        <w:spacing w:before="0" w:line="259" w:lineRule="exact"/>
        <w:ind w:left="898"/>
        <w:jc w:val="both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</w:p>
    <w:p>
      <w:pPr>
        <w:spacing w:before="41" w:line="259" w:lineRule="exact"/>
        <w:ind w:left="898" w:right="277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superscript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tions may be disregarded. (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Id.</w:t>
      </w:r>
      <w:r>
        <w:rPr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at p. 265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;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Hoff-</w:t>
        <w:br/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>man, supra</w:t>
      </w:r>
      <w:r>
        <w:rPr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, 179 Cal.App.4th at p. 400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.)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superscript"/>
        </w:rPr>
        <w:t>1</w:t>
      </w:r>
    </w:p>
    <w:p>
      <w:pPr>
        <w:spacing w:before="230" w:line="259" w:lineRule="exact"/>
        <w:ind w:left="898" w:right="161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Similarly, Intengan alleges that respondents </w:t>
        <w:br/>
      </w:r>
      <w:r>
        <w:rPr>
          <w:rFonts w:ascii="Times New Roman" w:hAnsi="Times New Roman"/>
          <w:color w:val="000000"/>
          <w:spacing w:val="0"/>
          <w:w w:val="104"/>
          <w:position w:val="0"/>
          <w:sz w:val="24"/>
          <w:szCs w:val="24"/>
          <w:u w:val="none"/>
          <w:vertAlign w:val="baseline"/>
        </w:rPr>
        <w:t>could not provide a valid “chain of assign-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ments” from previous</w:t>
      </w:r>
      <w:r>
        <w:rPr>
          <w:rFonts w:ascii="Times New Roman Bold" w:hAnsi="Times New Roman Bold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[*14]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lenders including</w:t>
      </w:r>
    </w:p>
    <w:p>
      <w:pPr>
        <w:spacing w:before="0" w:line="259" w:lineRule="exact"/>
        <w:ind w:left="898" w:right="0"/>
        <w:jc w:val="left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Countrywide. From the outset, however, MERS 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(not Countrywide) was the beneficiary under </w: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the deed of trust, and the assignment of the deed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of trust shows that MERS assigned its interest 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toBank of New York.(See</w:t>
      </w:r>
      <w:r>
        <w:rPr>
          <w:rFonts w:ascii="Times New Roman Italic" w:hAnsi="Times New Roman Italic"/>
          <w:color w:val="0000FF"/>
          <w:spacing w:val="0"/>
          <w:w w:val="101"/>
          <w:position w:val="0"/>
          <w:sz w:val="24"/>
          <w:szCs w:val="24"/>
          <w:u w:val="single"/>
          <w:vertAlign w:val="baseline"/>
        </w:rPr>
        <w:t xml:space="preserve"> Fontenot, supra</w:t>
      </w:r>
      <w:r>
        <w:rPr>
          <w:rFonts w:ascii="Times New Roman" w:hAnsi="Times New Roman"/>
          <w:color w:val="0000FF"/>
          <w:spacing w:val="0"/>
          <w:w w:val="101"/>
          <w:position w:val="0"/>
          <w:sz w:val="24"/>
          <w:szCs w:val="24"/>
          <w:u w:val="single"/>
          <w:vertAlign w:val="baseline"/>
        </w:rPr>
        <w:t xml:space="preserve"> , 198 </w:t>
      </w:r>
      <w:r>
        <w:rPr>
          <w:rFonts w:ascii="Times New Roman" w:hAnsi="Times New Roman"/>
          <w:color w:val="0000FF"/>
          <w:spacing w:val="0"/>
          <w:w w:val="101"/>
          <w:position w:val="0"/>
          <w:sz w:val="24"/>
          <w:szCs w:val="24"/>
          <w:u w:val="single"/>
          <w:vertAlign w:val="baseline"/>
        </w:rPr>
        <w:t>Cal.App.4th at pp. 264-265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.)</w:t>
      </w:r>
    </w:p>
    <w:p>
      <w:pPr>
        <w:spacing w:before="230" w:line="259" w:lineRule="exact"/>
        <w:ind w:left="898" w:right="0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Intengan also alleges the conclusion that the no-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tice of trustee’s sale arose from an “unauthor-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ized Trustee, document irregularities, [and] im-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proper signatories.” Although she alleges that </w:t>
        <w:br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the substitution of ReconTrust as trustee was not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recorded until February 17, 2011, the records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of which the court took judicial notice—includ-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ing the original deed of trust—show that Re-</w:t>
        <w:br/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conTrust was the trustee from the beginning and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throughout the date of the notice of default</w:t>
      </w:r>
    </w:p>
    <w:p>
      <w:pPr>
        <w:spacing w:before="0" w:line="259" w:lineRule="exact"/>
        <w:ind w:left="898" w:right="24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and notice of trustee sale. (See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Fontenot, supra</w:t>
      </w:r>
      <w:r>
        <w:rPr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, </w:t>
      </w:r>
      <w:r>
        <w:rPr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>198 Cal.App.4th at pp. 264-265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.) Further-</w:t>
      </w:r>
    </w:p>
    <w:p>
      <w:pPr>
        <w:spacing w:before="0" w:line="259" w:lineRule="exact"/>
        <w:ind w:left="898" w:right="0"/>
        <w:jc w:val="both"/>
        <w:rPr>
          <w:rFonts w:ascii="Times New Roman Italic" w:hAnsi="Times New Roman Italic"/>
          <w:color w:val="0000FF"/>
          <w:spacing w:val="-1"/>
          <w:w w:val="100"/>
          <w:position w:val="0"/>
          <w:u w:val="single"/>
          <w:vertAlign w:val="baseline"/>
        </w:rPr>
      </w:pP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more, both beneficiaries and trustees—and their 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agents—may record notices of default. (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Civ.</w:t>
      </w:r>
    </w:p>
    <w:p>
      <w:pPr>
        <w:spacing w:before="0" w:line="259" w:lineRule="exact"/>
        <w:ind w:left="898" w:right="103"/>
        <w:jc w:val="both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>Code, § 2924, subd. (a)(1)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.) Thus, ReconTrust 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was authorized to record the notice of de-</w:t>
      </w:r>
    </w:p>
    <w:p>
      <w:pPr>
        <w:spacing w:before="0" w:line="259" w:lineRule="exact"/>
        <w:ind w:left="898" w:right="0" w:firstLine="0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fault as the trustee, and it was also authorized </w: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to record the notice of default as the agent of the 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beneficiary. Intengan’s allegations fail to state </w:t>
      </w:r>
      <w:r>
        <w:rPr>
          <w:rFonts w:ascii="Times New Roman" w:hAnsi="Times New Roman"/>
          <w:color w:val="000000"/>
          <w:spacing w:val="0"/>
          <w:w w:val="103"/>
          <w:position w:val="0"/>
          <w:sz w:val="24"/>
          <w:szCs w:val="24"/>
          <w:u w:val="none"/>
          <w:vertAlign w:val="baseline"/>
        </w:rPr>
        <w:t>facts from which it may be inferred</w:t>
      </w:r>
      <w:r>
        <w:rPr>
          <w:rFonts w:ascii="Times New Roman Bold" w:hAnsi="Times New Roman Bold"/>
          <w:color w:val="000000"/>
          <w:spacing w:val="0"/>
          <w:w w:val="103"/>
          <w:position w:val="0"/>
          <w:sz w:val="24"/>
          <w:szCs w:val="24"/>
          <w:u w:val="none"/>
          <w:vertAlign w:val="baseline"/>
        </w:rPr>
        <w:t xml:space="preserve"> [*15]</w:t>
      </w:r>
      <w:r>
        <w:rPr>
          <w:rFonts w:ascii="Times New Roman" w:hAnsi="Times New Roman"/>
          <w:color w:val="000000"/>
          <w:spacing w:val="0"/>
          <w:w w:val="103"/>
          <w:position w:val="0"/>
          <w:sz w:val="24"/>
          <w:szCs w:val="24"/>
          <w:u w:val="none"/>
          <w:vertAlign w:val="baseline"/>
        </w:rPr>
        <w:t xml:space="preserve"> that 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the notice of default or the notice of trustee’s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sale was invalid on this ground.</w:t>
      </w:r>
    </w:p>
    <w:p>
      <w:pPr>
        <w:spacing w:before="230" w:line="259" w:lineRule="exact"/>
        <w:ind w:left="898" w:right="0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Intengan further alleges that respondents did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not comply with the requirements of Civil Code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sections 2823.6,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2923.5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, or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2923.6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, before pro-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ceeding with the foreclosure. There is no Civil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Code section 2823.6. Her allegations as to-</w:t>
      </w:r>
    </w:p>
    <w:p>
      <w:pPr>
        <w:spacing w:before="0" w:line="259" w:lineRule="exact"/>
        <w:ind w:left="5807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br w:type="column"/>
      </w:r>
    </w:p>
    <w:p>
      <w:pPr>
        <w:spacing w:before="41" w:line="259" w:lineRule="exact"/>
        <w:ind w:left="20" w:right="639"/>
        <w:jc w:val="left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Civil Code section 2923.6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are unavailing, but </w:t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her allegation as to</w:t>
      </w:r>
      <w:r>
        <w:rPr>
          <w:rFonts w:ascii="Times New Roman Italic" w:hAnsi="Times New Roman Italic"/>
          <w:color w:val="0000FF"/>
          <w:spacing w:val="-3"/>
          <w:w w:val="100"/>
          <w:position w:val="0"/>
          <w:sz w:val="24"/>
          <w:szCs w:val="24"/>
          <w:u w:val="single"/>
          <w:vertAlign w:val="baseline"/>
        </w:rPr>
        <w:t xml:space="preserve"> Civil Code section 2923.5</w:t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suf-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fice to state a cause of action.</w:t>
      </w:r>
    </w:p>
    <w:p>
      <w:pPr>
        <w:spacing w:before="200" w:line="259" w:lineRule="exact"/>
        <w:ind w:left="20" w:right="782"/>
        <w:jc w:val="left"/>
        <w:rPr>
          <w:rFonts w:ascii="Times New Roman Italic" w:hAnsi="Times New Roman Italic"/>
          <w:color w:val="0000FF"/>
          <w:spacing w:val="0"/>
          <w:w w:val="103"/>
          <w:position w:val="0"/>
          <w:u w:val="single"/>
          <w:vertAlign w:val="baseline"/>
        </w:rPr>
      </w:pPr>
      <w:r>
        <w:rPr>
          <w:rFonts w:ascii="Times New Roman Bold Italic" w:hAnsi="Times New Roman Bold Italic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CA(2)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(2)In January 2012, when Intengan’s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third amended complaint was filed, and June </w:t>
        <w:br/>
      </w:r>
      <w:r>
        <w:rPr>
          <w:rFonts w:ascii="Times New Roman" w:hAnsi="Times New Roman"/>
          <w:color w:val="000000"/>
          <w:spacing w:val="0"/>
          <w:w w:val="103"/>
          <w:position w:val="0"/>
          <w:sz w:val="24"/>
          <w:szCs w:val="24"/>
          <w:u w:val="none"/>
          <w:vertAlign w:val="baseline"/>
        </w:rPr>
        <w:t>2012, when it was dismissed,</w:t>
      </w:r>
      <w:r>
        <w:rPr>
          <w:rFonts w:ascii="Times New Roman Italic" w:hAnsi="Times New Roman Italic"/>
          <w:color w:val="0000FF"/>
          <w:spacing w:val="0"/>
          <w:w w:val="103"/>
          <w:position w:val="0"/>
          <w:sz w:val="24"/>
          <w:szCs w:val="24"/>
          <w:u w:val="single"/>
          <w:vertAlign w:val="baseline"/>
        </w:rPr>
        <w:t xml:space="preserve"> Civil Code sec-</w:t>
      </w:r>
    </w:p>
    <w:p>
      <w:pPr>
        <w:spacing w:before="1" w:line="259" w:lineRule="exact"/>
        <w:ind w:left="20" w:right="639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>tion 2923.6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provided:</w:t>
      </w:r>
      <w:r>
        <w:rPr>
          <w:rFonts w:ascii="Times New Roman Bold Italic" w:hAnsi="Times New Roman Bold Italic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HN5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“It is the intent of the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Legislature that the mortgagee, beneficiary, or </w:t>
        <w:br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authorized agent offer the borrower a loan modi-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fication or workout plan if such a modifica-</w:t>
      </w:r>
    </w:p>
    <w:p>
      <w:pPr>
        <w:spacing w:before="0" w:line="259" w:lineRule="exact"/>
        <w:ind w:left="20" w:right="654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tion or plan is consistent with its contractual or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other authority.” (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Civ. Code, § 2923.6, former </w:t>
        <w:br/>
      </w:r>
      <w:r>
        <w:rPr>
          <w:rFonts w:ascii="Times New Roman Italic" w:hAnsi="Times New Roman Italic"/>
          <w:color w:val="0000FF"/>
          <w:spacing w:val="0"/>
          <w:w w:val="105"/>
          <w:position w:val="0"/>
          <w:sz w:val="24"/>
          <w:szCs w:val="24"/>
          <w:u w:val="single"/>
          <w:vertAlign w:val="baseline"/>
        </w:rPr>
        <w:t>subd. (b)</w:t>
      </w:r>
      <w:r>
        <w:rPr>
          <w:rFonts w:ascii="Times New Roman" w:hAnsi="Times New Roman"/>
          <w:color w:val="000000"/>
          <w:spacing w:val="0"/>
          <w:w w:val="105"/>
          <w:position w:val="0"/>
          <w:sz w:val="24"/>
          <w:szCs w:val="24"/>
          <w:u w:val="none"/>
          <w:vertAlign w:val="baseline"/>
        </w:rPr>
        <w:t>.)</w:t>
      </w:r>
      <w:r>
        <w:rPr>
          <w:rFonts w:ascii="Times New Roman" w:hAnsi="Times New Roman"/>
          <w:color w:val="000000"/>
          <w:spacing w:val="0"/>
          <w:w w:val="105"/>
          <w:position w:val="0"/>
          <w:sz w:val="24"/>
          <w:szCs w:val="24"/>
          <w:u w:val="none"/>
          <w:vertAlign w:val="superscript"/>
        </w:rPr>
        <w:t>2</w:t>
      </w:r>
      <w:r>
        <w:rPr>
          <w:rFonts w:ascii="Times New Roman" w:hAnsi="Times New Roman"/>
          <w:color w:val="000000"/>
          <w:spacing w:val="0"/>
          <w:w w:val="105"/>
          <w:position w:val="0"/>
          <w:sz w:val="24"/>
          <w:szCs w:val="24"/>
          <w:u w:val="none"/>
          <w:vertAlign w:val="baseline"/>
        </w:rPr>
        <w:t xml:space="preserve">Intengan alleged that, pursuant to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Civil Code section “2823.6”—which we take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to mean “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2923.6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”—“Defendants are now con-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tractually bound to implement the loan modi-</w:t>
        <w:br/>
      </w:r>
      <w:r>
        <w:rPr>
          <w:rFonts w:ascii="Times New Roman" w:hAnsi="Times New Roman"/>
          <w:color w:val="000000"/>
          <w:spacing w:val="0"/>
          <w:w w:val="105"/>
          <w:position w:val="0"/>
          <w:sz w:val="24"/>
          <w:szCs w:val="24"/>
          <w:u w:val="none"/>
          <w:vertAlign w:val="baseline"/>
        </w:rPr>
        <w:t>fication as provided therein.” But</w:t>
      </w:r>
      <w:r>
        <w:rPr>
          <w:rFonts w:ascii="Times New Roman Bold Italic" w:hAnsi="Times New Roman Bold Italic"/>
          <w:color w:val="000000"/>
          <w:spacing w:val="0"/>
          <w:w w:val="105"/>
          <w:position w:val="0"/>
          <w:sz w:val="24"/>
          <w:szCs w:val="24"/>
          <w:u w:val="none"/>
          <w:vertAlign w:val="baseline"/>
        </w:rPr>
        <w:t xml:space="preserve">HN6 </w:t>
      </w:r>
      <w:r>
        <w:rPr>
          <w:rFonts w:ascii="Times New Roman Italic" w:hAnsi="Times New Roman Italic"/>
          <w:color w:val="0000FF"/>
          <w:spacing w:val="-3"/>
          <w:w w:val="100"/>
          <w:position w:val="0"/>
          <w:sz w:val="24"/>
          <w:szCs w:val="24"/>
          <w:u w:val="single"/>
          <w:vertAlign w:val="baseline"/>
        </w:rPr>
        <w:t xml:space="preserve"> Civil </w:t>
        <w:br/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>Code section 2923.6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does not grant a right to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a loan modification. To the contrary, it “merely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expresses the hope that lenders will offer</w:t>
      </w:r>
    </w:p>
    <w:p>
      <w:pPr>
        <w:spacing w:before="1" w:line="259" w:lineRule="exact"/>
        <w:ind w:left="20" w:right="708"/>
        <w:jc w:val="both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loan</w:t>
      </w:r>
      <w:r>
        <w:rPr>
          <w:rFonts w:ascii="Times New Roman Bold" w:hAnsi="Times New Roman Bold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[*16]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modifications on certain terms” and 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“conspicuously does not require lenders to</w:t>
      </w:r>
    </w:p>
    <w:p>
      <w:pPr>
        <w:spacing w:before="0" w:line="259" w:lineRule="exact"/>
        <w:ind w:left="20" w:right="721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>take any action.” (</w:t>
      </w:r>
      <w:r>
        <w:rPr>
          <w:rFonts w:ascii="Times New Roman Italic" w:hAnsi="Times New Roman Italic"/>
          <w:color w:val="0000FF"/>
          <w:spacing w:val="0"/>
          <w:w w:val="102"/>
          <w:position w:val="0"/>
          <w:sz w:val="24"/>
          <w:szCs w:val="24"/>
          <w:u w:val="single"/>
          <w:vertAlign w:val="baseline"/>
        </w:rPr>
        <w:t xml:space="preserve"> Mabry, supra</w:t>
      </w:r>
      <w:r>
        <w:rPr>
          <w:rFonts w:ascii="Times New Roman" w:hAnsi="Times New Roman"/>
          <w:color w:val="0000FF"/>
          <w:spacing w:val="0"/>
          <w:w w:val="102"/>
          <w:position w:val="0"/>
          <w:sz w:val="24"/>
          <w:szCs w:val="24"/>
          <w:u w:val="single"/>
          <w:vertAlign w:val="baseline"/>
        </w:rPr>
        <w:t xml:space="preserve"> , 185 </w:t>
        <w:br/>
      </w:r>
      <w:r>
        <w:rPr>
          <w:rFonts w:ascii="Times New Roman" w:hAnsi="Times New Roman"/>
          <w:color w:val="0000FF"/>
          <w:spacing w:val="0"/>
          <w:w w:val="101"/>
          <w:position w:val="0"/>
          <w:sz w:val="24"/>
          <w:szCs w:val="24"/>
          <w:u w:val="single"/>
          <w:vertAlign w:val="baseline"/>
        </w:rPr>
        <w:t>Cal.App.4th at p. 222 &amp; fn. 9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, italics omitted.) 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In other words, “[t]hereis no ‘duty’ under-</w:t>
        <w:br/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Civil Code section 2923.6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to agree to a loan </w: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modification.” (</w:t>
      </w:r>
      <w:r>
        <w:rPr>
          <w:rFonts w:ascii="Times New Roman Italic" w:hAnsi="Times New Roman Italic"/>
          <w:color w:val="0000FF"/>
          <w:spacing w:val="-2"/>
          <w:w w:val="100"/>
          <w:position w:val="0"/>
          <w:sz w:val="24"/>
          <w:szCs w:val="24"/>
          <w:u w:val="single"/>
          <w:vertAlign w:val="baseline"/>
        </w:rPr>
        <w:t xml:space="preserve"> Hamilton v. Greenwich Inves-</w:t>
        <w:br/>
      </w:r>
      <w:r>
        <w:rPr>
          <w:rFonts w:ascii="Times New Roman Italic" w:hAnsi="Times New Roman Italic"/>
          <w:color w:val="0000FF"/>
          <w:spacing w:val="0"/>
          <w:w w:val="102"/>
          <w:position w:val="0"/>
          <w:sz w:val="24"/>
          <w:szCs w:val="24"/>
          <w:u w:val="single"/>
          <w:vertAlign w:val="baseline"/>
        </w:rPr>
        <w:t>tors XXVI, LLC</w:t>
      </w:r>
      <w:r>
        <w:rPr>
          <w:rFonts w:ascii="Times New Roman" w:hAnsi="Times New Roman"/>
          <w:color w:val="0000FF"/>
          <w:spacing w:val="0"/>
          <w:w w:val="102"/>
          <w:position w:val="0"/>
          <w:sz w:val="24"/>
          <w:szCs w:val="24"/>
          <w:u w:val="single"/>
          <w:vertAlign w:val="baseline"/>
        </w:rPr>
        <w:t xml:space="preserve"> (2011) 195 Cal.App.4th 1602, </w:t>
      </w:r>
      <w:r>
        <w:rPr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>1617 [126 Cal. Rptr. 3d 174]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.)</w:t>
      </w:r>
    </w:p>
    <w:p>
      <w:pPr>
        <w:spacing w:before="200" w:line="259" w:lineRule="exact"/>
        <w:ind w:left="20" w:right="639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 Bold Italic" w:hAnsi="Times New Roman Bold Italic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HN7 CA(3)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(3)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Civil Code section 2923.5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pre-</w:t>
        <w:br/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cludes a trustee (like respondent ReconTrust) or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mortgage servicer (such as BAC/respondent-</w:t>
        <w:br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Bank of America) from recording a notice of de-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fault until 30 days after the loan servicer has </w:t>
        <w:br/>
      </w:r>
      <w:r>
        <w:rPr>
          <w:rFonts w:ascii="Times New Roman" w:hAnsi="Times New Roman"/>
          <w:color w:val="000000"/>
          <w:spacing w:val="0"/>
          <w:w w:val="104"/>
          <w:position w:val="0"/>
          <w:sz w:val="24"/>
          <w:szCs w:val="24"/>
          <w:u w:val="none"/>
          <w:vertAlign w:val="baseline"/>
        </w:rPr>
        <w:t>made initial contact with the borrower to as-</w:t>
        <w:br/>
      </w:r>
      <w:r>
        <w:rPr>
          <w:rFonts w:ascii="Times New Roman" w:hAnsi="Times New Roman"/>
          <w:color w:val="000000"/>
          <w:spacing w:val="0"/>
          <w:w w:val="103"/>
          <w:position w:val="0"/>
          <w:sz w:val="24"/>
          <w:szCs w:val="24"/>
          <w:u w:val="none"/>
          <w:vertAlign w:val="baseline"/>
        </w:rPr>
        <w:t>sess the borrower’s financial situation and ex-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plore options for avoiding foreclosure, or has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satisfied the due diligence requirements of the </w:t>
      </w:r>
    </w:p>
    <w:p>
      <w:pPr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  <w:sectPr>
          <w:type w:val="continuous"/>
          <w:pgSz w:w="12220" w:h="15820"/>
          <w:pgMar w:top="431" w:right="431" w:bottom="431" w:left="431" w:header="720" w:footer="720"/>
          <w:cols w:num="2" w:space="720" w:equalWidth="0">
            <w:col w:w="5647" w:space="160"/>
            <w:col w:w="5409" w:space="160"/>
          </w:cols>
        </w:sectPr>
      </w:pPr>
    </w:p>
    <w:p>
      <w:pPr>
        <w:spacing w:before="0" w:line="207" w:lineRule="exact"/>
        <w:ind w:left="898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</w:p>
    <w:p>
      <w:pPr>
        <w:tabs>
          <w:tab w:val="left" w:pos="1148"/>
        </w:tabs>
        <w:spacing w:before="176" w:line="207" w:lineRule="exact"/>
        <w:ind w:left="898"/>
        <w:jc w:val="left"/>
        <w:rPr>
          <w:rFonts w:ascii="Times New Roman" w:hAnsi="Times New Roman"/>
          <w:color w:val="000000"/>
          <w:spacing w:val="0"/>
          <w:w w:val="100"/>
          <w:position w:val="-3"/>
          <w:sz w:val="18"/>
          <w:u w:val="none"/>
          <w:vertAlign w:val="baseline"/>
        </w:rPr>
      </w:pPr>
      <w:r>
        <w:rPr>
          <w:rFonts w:ascii="Times New Roman" w:hAnsi="Times New Roman"/>
          <w:color w:val="000000"/>
          <w:spacing w:val="-2"/>
          <w:w w:val="100"/>
          <w:position w:val="2"/>
          <w:sz w:val="12"/>
          <w:szCs w:val="24"/>
          <w:u w:val="none"/>
          <w:vertAlign w:val="baseline"/>
        </w:rPr>
        <w:t xml:space="preserve">1 </w:t>
        <w:tab/>
      </w:r>
      <w:r>
        <w:rPr>
          <w:rFonts w:ascii="Times New Roman" w:hAnsi="Times New Roman"/>
          <w:color w:val="000000"/>
          <w:spacing w:val="0"/>
          <w:w w:val="100"/>
          <w:position w:val="-3"/>
          <w:sz w:val="18"/>
          <w:szCs w:val="24"/>
          <w:u w:val="none"/>
          <w:vertAlign w:val="baseline"/>
        </w:rPr>
        <w:t>Accord,</w:t>
      </w:r>
      <w:r>
        <w:rPr>
          <w:rFonts w:ascii="Times New Roman Italic" w:hAnsi="Times New Roman Italic"/>
          <w:color w:val="0000FF"/>
          <w:spacing w:val="0"/>
          <w:w w:val="100"/>
          <w:position w:val="-3"/>
          <w:sz w:val="18"/>
          <w:szCs w:val="24"/>
          <w:u w:val="single"/>
          <w:vertAlign w:val="baseline"/>
        </w:rPr>
        <w:t xml:space="preserve"> Herrera v. Deutsche Bank National Trust Co.</w:t>
      </w:r>
      <w:r>
        <w:rPr>
          <w:rFonts w:ascii="Times New Roman" w:hAnsi="Times New Roman"/>
          <w:color w:val="0000FF"/>
          <w:spacing w:val="0"/>
          <w:w w:val="100"/>
          <w:position w:val="-3"/>
          <w:sz w:val="18"/>
          <w:szCs w:val="24"/>
          <w:u w:val="single"/>
          <w:vertAlign w:val="baseline"/>
        </w:rPr>
        <w:t xml:space="preserve"> (2011) 196 Cal.App.4th 1366, 1375 [127 Cal. Rptr. 3d 362] (</w:t>
      </w:r>
      <w:r>
        <w:rPr>
          <w:rFonts w:ascii="Times New Roman Italic" w:hAnsi="Times New Roman Italic"/>
          <w:color w:val="0000FF"/>
          <w:spacing w:val="0"/>
          <w:w w:val="100"/>
          <w:position w:val="-3"/>
          <w:sz w:val="18"/>
          <w:szCs w:val="24"/>
          <w:u w:val="single"/>
          <w:vertAlign w:val="baseline"/>
        </w:rPr>
        <w:t xml:space="preserve"> Herrera</w:t>
      </w:r>
      <w:r>
        <w:rPr>
          <w:rFonts w:ascii="Times New Roman" w:hAnsi="Times New Roman"/>
          <w:color w:val="0000FF"/>
          <w:spacing w:val="0"/>
          <w:w w:val="100"/>
          <w:position w:val="-3"/>
          <w:sz w:val="18"/>
          <w:szCs w:val="24"/>
          <w:u w:val="single"/>
          <w:vertAlign w:val="baseline"/>
        </w:rPr>
        <w:t xml:space="preserve"> )</w:t>
      </w:r>
      <w:r>
        <w:rPr>
          <w:rFonts w:ascii="Times New Roman" w:hAnsi="Times New Roman"/>
          <w:color w:val="000000"/>
          <w:spacing w:val="0"/>
          <w:w w:val="100"/>
          <w:position w:val="-3"/>
          <w:sz w:val="18"/>
          <w:szCs w:val="24"/>
          <w:u w:val="none"/>
          <w:vertAlign w:val="baseline"/>
        </w:rPr>
        <w:t xml:space="preserve">. </w:t>
      </w:r>
    </w:p>
    <w:p>
      <w:pPr>
        <w:spacing w:before="39" w:line="200" w:lineRule="exact"/>
        <w:ind w:left="898" w:right="733"/>
        <w:jc w:val="left"/>
        <w:rPr>
          <w:rFonts w:ascii="Times New Roman" w:hAnsi="Times New Roman"/>
          <w:color w:val="000000"/>
          <w:spacing w:val="-1"/>
          <w:w w:val="100"/>
          <w:position w:val="0"/>
          <w:sz w:val="18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 xml:space="preserve">In Herrera, the court held that judicial notice could not be taken of the fact that a foreclosing bank was the beneficiary under a deed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>of trust where the judicial notice was to be based on a disputed hearsay statement in a</w:t>
      </w:r>
      <w:r>
        <w:rPr>
          <w:rFonts w:ascii="Times New Roman Italic" w:hAnsi="Times New Roman Italic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>substitution of trustee</w:t>
      </w: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 xml:space="preserve">form that the bank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18"/>
          <w:szCs w:val="24"/>
          <w:u w:val="none"/>
          <w:vertAlign w:val="baseline"/>
        </w:rPr>
        <w:t>was the beneficiary (as opposed to the original deed of trust or an assignment that actually made the bank the beneficiary) and a dis-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>puted hearsay statement in an assignment of the deed of trust that the</w:t>
      </w:r>
      <w:r>
        <w:rPr>
          <w:rFonts w:ascii="Times New Roman Italic" w:hAnsi="Times New Roman Italic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>predecessor</w:t>
      </w: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 xml:space="preserve">bank was successor to the original beneficiary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18"/>
          <w:szCs w:val="24"/>
          <w:u w:val="none"/>
          <w:vertAlign w:val="baseline"/>
        </w:rPr>
        <w:t>(which was a hearsay statement that could not establish a chain of title without independent proof). Here, by contrast, the legally op-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18"/>
          <w:szCs w:val="24"/>
          <w:u w:val="none"/>
          <w:vertAlign w:val="baseline"/>
        </w:rPr>
        <w:t xml:space="preserve">erative effect of the deed of trust is that MERS was the beneficiary, and the legally operative effect of the assignment from </w:t>
      </w:r>
    </w:p>
    <w:p>
      <w:pPr>
        <w:spacing w:before="2" w:line="198" w:lineRule="exact"/>
        <w:ind w:left="898"/>
        <w:jc w:val="left"/>
        <w:rPr>
          <w:rFonts w:ascii="Times New Roman" w:hAnsi="Times New Roman"/>
          <w:color w:val="000000"/>
          <w:spacing w:val="0"/>
          <w:w w:val="100"/>
          <w:position w:val="0"/>
          <w:sz w:val="18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>MERS toBank of New Yorkis thatBank of New Yorkbecame the new beneficiary.</w:t>
      </w:r>
    </w:p>
    <w:p>
      <w:pPr>
        <w:rPr>
          <w:rFonts w:ascii="Times New Roman" w:hAnsi="Times New Roman"/>
          <w:color w:val="000000"/>
          <w:spacing w:val="0"/>
          <w:w w:val="100"/>
          <w:position w:val="0"/>
          <w:sz w:val="18"/>
          <w:u w:val="none"/>
          <w:vertAlign w:val="baseline"/>
        </w:rPr>
        <w:sectPr>
          <w:type w:val="continuous"/>
          <w:pgSz w:w="12220" w:h="15820"/>
          <w:pgMar w:top="431" w:right="431" w:bottom="431" w:left="431" w:header="720" w:footer="720"/>
          <w:cols w:space="720"/>
        </w:sectPr>
      </w:pPr>
    </w:p>
    <w:p>
      <w:pPr>
        <w:spacing w:before="103" w:line="138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sz w:val="12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12"/>
          <w:szCs w:val="24"/>
          <w:u w:val="none"/>
          <w:vertAlign w:val="baseline"/>
        </w:rPr>
        <w:t>2</w:t>
      </w:r>
    </w:p>
    <w:p>
      <w:pPr>
        <w:spacing w:before="0" w:line="144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sz w:val="12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12"/>
          <w:szCs w:val="24"/>
          <w:u w:val="none"/>
          <w:vertAlign w:val="baseline"/>
        </w:rPr>
        <w:br w:type="column"/>
      </w:r>
    </w:p>
    <w:p>
      <w:pPr>
        <w:spacing w:before="28" w:line="144" w:lineRule="exact"/>
        <w:ind w:left="20"/>
        <w:jc w:val="left"/>
        <w:rPr>
          <w:rFonts w:ascii="Times New Roman" w:hAnsi="Times New Roman"/>
          <w:color w:val="0000FF"/>
          <w:spacing w:val="0"/>
          <w:w w:val="100"/>
          <w:position w:val="0"/>
          <w:sz w:val="18"/>
          <w:u w:val="singl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>Stats. 2012, ch. 86, § 7andStats. 2012, ch. 87, § 7, effective January 1, 2013, amended</w:t>
      </w:r>
      <w:r>
        <w:rPr>
          <w:rFonts w:ascii="Times New Roman" w:hAnsi="Times New Roman"/>
          <w:color w:val="0000FF"/>
          <w:spacing w:val="0"/>
          <w:w w:val="100"/>
          <w:position w:val="0"/>
          <w:sz w:val="18"/>
          <w:szCs w:val="24"/>
          <w:u w:val="single"/>
          <w:vertAlign w:val="baseline"/>
        </w:rPr>
        <w:t xml:space="preserve"> Civil Code section 2923.6, subdivision </w:t>
      </w:r>
    </w:p>
    <w:p>
      <w:pPr>
        <w:rPr>
          <w:rFonts w:ascii="Times New Roman" w:hAnsi="Times New Roman"/>
          <w:color w:val="0000FF"/>
          <w:spacing w:val="0"/>
          <w:w w:val="100"/>
          <w:position w:val="0"/>
          <w:sz w:val="18"/>
          <w:u w:val="single"/>
          <w:vertAlign w:val="baseline"/>
        </w:rPr>
        <w:sectPr>
          <w:type w:val="continuous"/>
          <w:pgSz w:w="12220" w:h="15820"/>
          <w:pgMar w:top="431" w:right="431" w:bottom="431" w:left="431" w:header="720" w:footer="720"/>
          <w:cols w:num="2" w:space="720" w:equalWidth="0">
            <w:col w:w="1038" w:space="110"/>
            <w:col w:w="10068" w:space="160"/>
          </w:cols>
        </w:sectPr>
      </w:pPr>
    </w:p>
    <w:p>
      <w:pPr>
        <w:spacing w:before="18" w:line="184" w:lineRule="exact"/>
        <w:ind w:left="898"/>
        <w:jc w:val="left"/>
        <w:rPr>
          <w:rFonts w:ascii="Times New Roman" w:hAnsi="Times New Roman"/>
          <w:color w:val="000000"/>
          <w:spacing w:val="0"/>
          <w:w w:val="100"/>
          <w:position w:val="0"/>
          <w:sz w:val="18"/>
          <w:u w:val="none"/>
          <w:vertAlign w:val="baseline"/>
        </w:rPr>
      </w:pPr>
      <w:r>
        <w:rPr>
          <w:rFonts w:ascii="Times New Roman" w:hAnsi="Times New Roman"/>
          <w:color w:val="0000FF"/>
          <w:spacing w:val="0"/>
          <w:w w:val="100"/>
          <w:position w:val="0"/>
          <w:sz w:val="18"/>
          <w:szCs w:val="24"/>
          <w:u w:val="single"/>
          <w:vertAlign w:val="baseline"/>
        </w:rPr>
        <w:t>(b)</w:t>
      </w: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 xml:space="preserve">by substituting “mortgage servicer” for “mortgagee, beneficiary, or authorized agent.” </w:t>
      </w:r>
    </w:p>
    <w:p>
      <w:pPr>
        <w:spacing w:before="0" w:line="230" w:lineRule="exact"/>
        <w:ind w:left="5183"/>
        <w:jc w:val="left"/>
        <w:rPr>
          <w:rFonts w:ascii="Times New Roman" w:hAnsi="Times New Roman"/>
          <w:color w:val="000000"/>
          <w:spacing w:val="0"/>
          <w:w w:val="100"/>
          <w:position w:val="0"/>
          <w:sz w:val="18"/>
          <w:u w:val="none"/>
          <w:vertAlign w:val="baseline"/>
        </w:rPr>
      </w:pPr>
    </w:p>
    <w:p>
      <w:pPr>
        <w:spacing w:before="68" w:line="230" w:lineRule="exact"/>
        <w:ind w:left="5183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 xml:space="preserve">Charles Cox </w: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88" style="mso-position-horizontal-relative:page;mso-position-vertical-relative:page;position:absolute;z-index:-251589632" from="66.5pt,606.05pt" to="545.45pt,606.05pt" o:allowincell="f" strokecolor="black" strokeweight="1.5pt">
            <w10:wrap anchorx="page" anchory="page"/>
          </v:line>
        </w:pict>
      </w:r>
    </w:p>
    <w:p>
      <w:pPr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  <w:sectPr>
          <w:type w:val="continuous"/>
          <w:pgSz w:w="12220" w:h="15820"/>
          <w:pgMar w:top="431" w:right="431" w:bottom="431" w:left="431" w:header="720" w:footer="720"/>
          <w:cols w:space="720"/>
        </w:sectPr>
      </w:pPr>
    </w:p>
    <w:p>
      <w:pPr>
        <w:spacing w:before="178" w:line="230" w:lineRule="exact"/>
        <w:ind w:left="9431"/>
        <w:jc w:val="left"/>
        <w:rPr>
          <w:rFonts w:ascii="Times New Roman" w:hAnsi="Times New Roman"/>
          <w:color w:val="000000"/>
          <w:spacing w:val="0"/>
          <w:w w:val="101"/>
          <w:position w:val="0"/>
          <w:sz w:val="20"/>
          <w:u w:val="none"/>
          <w:vertAlign w:val="baseline"/>
        </w:rPr>
      </w:pPr>
      <w:bookmarkStart w:id="9" w:name="Pg10"/>
      <w:bookmarkEnd w:id="9"/>
      <w:r>
        <w:rPr>
          <w:rFonts w:ascii="Times New Roman" w:hAnsi="Times New Roman"/>
          <w:color w:val="000000"/>
          <w:spacing w:val="0"/>
          <w:w w:val="101"/>
          <w:position w:val="0"/>
          <w:sz w:val="20"/>
          <w:szCs w:val="24"/>
          <w:u w:val="none"/>
          <w:vertAlign w:val="baseline"/>
        </w:rPr>
        <w:t xml:space="preserve">Page 9 of 11 </w:t>
      </w:r>
    </w:p>
    <w:p>
      <w:pPr>
        <w:spacing w:before="10" w:line="230" w:lineRule="exact"/>
        <w:ind w:left="4410"/>
        <w:jc w:val="left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2013 Cal. App. LEXIS 225, *16</w:t>
      </w:r>
    </w:p>
    <w:p>
      <w:pPr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  <w:sectPr>
          <w:pgSz w:w="12220" w:h="15820"/>
          <w:pgMar w:top="431" w:right="431" w:bottom="431" w:left="431" w:header="720" w:footer="720"/>
          <w:cols w:space="720"/>
        </w:sectPr>
      </w:pPr>
    </w:p>
    <w:p>
      <w:pPr>
        <w:spacing w:before="0" w:line="259" w:lineRule="exact"/>
        <w:ind w:left="898"/>
        <w:jc w:val="left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</w:p>
    <w:p>
      <w:pPr>
        <w:spacing w:before="41" w:line="259" w:lineRule="exact"/>
        <w:ind w:left="898" w:right="0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statute. (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Civ. Code, § 2923.5, subd. (a)(1)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.)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Due diligence requires sending a letter by first-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class mail, making three attempts to contact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the borrower by telephone, and sending a certi-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fied letter if no response is received within </w:t>
        <w:br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two weeks of the telephone attempts.</w:t>
      </w:r>
      <w:r>
        <w:rPr>
          <w:rFonts w:ascii="Times New Roman Bold" w:hAnsi="Times New Roman Bold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 [*17]</w:t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 (</w:t>
      </w:r>
      <w:r>
        <w:rPr>
          <w:rFonts w:ascii="Times New Roman Italic" w:hAnsi="Times New Roman Italic"/>
          <w:color w:val="0000FF"/>
          <w:spacing w:val="-3"/>
          <w:w w:val="100"/>
          <w:position w:val="0"/>
          <w:sz w:val="24"/>
          <w:szCs w:val="24"/>
          <w:u w:val="single"/>
          <w:vertAlign w:val="baseline"/>
        </w:rPr>
        <w:t xml:space="preserve"> Civ. 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>Code, § 2923.5, subd. (e)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.)</w:t>
      </w:r>
    </w:p>
    <w:p>
      <w:pPr>
        <w:spacing w:before="200" w:line="259" w:lineRule="exact"/>
        <w:ind w:left="898" w:right="0"/>
        <w:jc w:val="left"/>
        <w:rPr>
          <w:rFonts w:ascii="Times New Roman" w:hAnsi="Times New Roman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Intengan expressly alleged in her third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amended complaint that respondents “</w:t>
      </w:r>
      <w:r>
        <w:rPr>
          <w:rFonts w:ascii="Times New Roman Italic" w:hAnsi="Times New Roman Italic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did not </w:t>
        <w:br/>
      </w:r>
      <w:r>
        <w:rPr>
          <w:rFonts w:ascii="Times New Roman Italic" w:hAnsi="Times New Roman Italic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comply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with such contact and due diligence re-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quirements pursuant to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Civil Code section </w:t>
        <w:br/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>2923.5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.” (Italics added.) In support of their de-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murrer, respondents sought judicial notice of </w:t>
        <w:br/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the notice of default, including the attached dec-</w:t>
        <w:br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laration of Samantha Jones, which averred that-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Bank of America“tried with due diligence to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contact [Intengan] in accordance with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Califor-</w:t>
        <w:br/>
      </w:r>
      <w:r>
        <w:rPr>
          <w:rFonts w:ascii="Times New Roman Italic" w:hAnsi="Times New Roman Italic"/>
          <w:color w:val="0000FF"/>
          <w:spacing w:val="0"/>
          <w:w w:val="101"/>
          <w:position w:val="0"/>
          <w:sz w:val="24"/>
          <w:szCs w:val="24"/>
          <w:u w:val="single"/>
          <w:vertAlign w:val="baseline"/>
        </w:rPr>
        <w:t>nia Civil Code Section 2923.5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.” But in her op-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position to the demurrer, Intengan argued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that she had never spoken with Jones in person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or over the telephone, heard any recording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from Jones “over the telephone or any other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method recorded by ‘Ms. Jones’, Defendants-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Bank of Americaor Mr. Julian,” or “communi-</w:t>
        <w:br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cated with ‘Ms. Jones’ by any method of com-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munication whatsoever nor received any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communication whatsoever from ‘Ms. Jones’ </w:t>
        <w:br/>
      </w:r>
      <w:r>
        <w:rPr>
          <w:rFonts w:ascii="Times New Roman" w:hAnsi="Times New Roman"/>
          <w:color w:val="000000"/>
          <w:spacing w:val="-4"/>
          <w:w w:val="100"/>
          <w:position w:val="0"/>
          <w:sz w:val="24"/>
          <w:szCs w:val="24"/>
          <w:u w:val="none"/>
          <w:vertAlign w:val="baseline"/>
        </w:rPr>
        <w:t>other than by the ‘Ms. Jones’ Declaration Defen-</w:t>
        <w:br/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dantsBank of Americaand Mr. Julian have pro-</w:t>
        <w:br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vided.”</w:t>
      </w:r>
    </w:p>
    <w:p>
      <w:pPr>
        <w:spacing w:before="200" w:line="259" w:lineRule="exact"/>
        <w:ind w:left="898" w:right="0" w:firstLine="0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Construing the allegations of the third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amended complaint broadly (as we must on de-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murrer), we conclude that Intengan stated a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cause of action for wrongful foreclosure based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on respondents’</w:t>
      </w:r>
      <w:r>
        <w:rPr>
          <w:rFonts w:ascii="Times New Roman Bold" w:hAnsi="Times New Roman Bold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[*18]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alleged noncompli-</w:t>
        <w:br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ance with</w:t>
      </w:r>
      <w:r>
        <w:rPr>
          <w:rFonts w:ascii="Times New Roman Italic" w:hAnsi="Times New Roman Italic"/>
          <w:color w:val="0000FF"/>
          <w:spacing w:val="-3"/>
          <w:w w:val="100"/>
          <w:position w:val="0"/>
          <w:sz w:val="24"/>
          <w:szCs w:val="24"/>
          <w:u w:val="single"/>
          <w:vertAlign w:val="baseline"/>
        </w:rPr>
        <w:t xml:space="preserve"> Civil Code section 2923.5</w:t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. Intengan al-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leged that defendants did not contact her or at-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tempt to contact her with due diligence as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required by the statute. Although respondents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sought judicial notice of Jones’s declaration re-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garding compliance with the statute, Intengan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disputed the truthfulness of Jones’s declaration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by denying that she was ever contacted or re-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ceived any telephone message. She also argued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at the demurrer hearing that it was inappropri-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ate to turn the hearing into an evidentiary hear-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ing—in other words, that a demurrer may not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be sustained by resolving a conflict in the evi-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dence. And in this appeal Intengan argues</w:t>
      </w:r>
    </w:p>
    <w:p>
      <w:pPr>
        <w:spacing w:before="0" w:line="259" w:lineRule="exact"/>
        <w:ind w:left="5807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br w:type="column"/>
      </w:r>
    </w:p>
    <w:p>
      <w:pPr>
        <w:spacing w:before="41" w:line="259" w:lineRule="exact"/>
        <w:ind w:left="20" w:right="649" w:firstLine="0"/>
        <w:jc w:val="both"/>
        <w:rPr>
          <w:rFonts w:ascii="Times New Roman" w:hAnsi="Times New Roman"/>
          <w:color w:val="000000"/>
          <w:spacing w:val="-2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that, while judicial notice may be taken of the </w:t>
      </w: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existence of a document such as a declaration, </w:t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accepting the truth of its</w:t>
      </w:r>
      <w:r>
        <w:rPr>
          <w:rFonts w:ascii="Times New Roman Italic" w:hAnsi="Times New Roman Italic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contents</w:t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presents an en-</w:t>
        <w:br/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tirely different matter.</w:t>
      </w:r>
    </w:p>
    <w:p>
      <w:pPr>
        <w:spacing w:before="200" w:line="259" w:lineRule="exact"/>
        <w:ind w:left="20" w:right="742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 Bold Italic" w:hAnsi="Times New Roman Bold Italic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CA(4)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(4)Intengan is correct.</w:t>
      </w:r>
      <w:r>
        <w:rPr>
          <w:rFonts w:ascii="Times New Roman Bold Italic" w:hAnsi="Times New Roman Bold Italic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HN8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Civil Code </w:t>
        <w:br/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>section 2923.5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requires not only that a declara-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tion of compliance be attached to the notice</w:t>
      </w:r>
    </w:p>
    <w:p>
      <w:pPr>
        <w:spacing w:before="0" w:line="259" w:lineRule="exact"/>
        <w:ind w:left="20" w:right="639" w:firstLine="0"/>
        <w:jc w:val="left"/>
        <w:rPr>
          <w:rFonts w:ascii="Times New Roman Italic" w:hAnsi="Times New Roman Italic"/>
          <w:color w:val="0000FF"/>
          <w:spacing w:val="-1"/>
          <w:w w:val="100"/>
          <w:position w:val="0"/>
          <w:u w:val="single"/>
          <w:vertAlign w:val="baseline"/>
        </w:rPr>
      </w:pP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of default, but that the bank actually perform the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underlying acts (i.e., contacting the borrower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or attempting such contact with due diligence) </w:t>
        <w:br/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that would constitute compliance. While judi-</w:t>
        <w:br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cial notice could be properly taken of the</w:t>
      </w:r>
      <w:r>
        <w:rPr>
          <w:rFonts w:ascii="Times New Roman Italic" w:hAnsi="Times New Roman Italic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existen-</w:t>
        <w:br/>
      </w:r>
      <w:r>
        <w:rPr>
          <w:rFonts w:ascii="Times New Roman Italic" w:hAnsi="Times New Roman Italic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ce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of Jones’s</w:t>
      </w:r>
      <w:r>
        <w:rPr>
          <w:rFonts w:ascii="Times New Roman Bold" w:hAnsi="Times New Roman Bold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[*19]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declaration, it could not be </w:t>
        <w:br/>
      </w:r>
      <w:r>
        <w:rPr>
          <w:rFonts w:ascii="Times New Roman" w:hAnsi="Times New Roman"/>
          <w:color w:val="000000"/>
          <w:spacing w:val="0"/>
          <w:w w:val="103"/>
          <w:position w:val="0"/>
          <w:sz w:val="24"/>
          <w:szCs w:val="24"/>
          <w:u w:val="none"/>
          <w:vertAlign w:val="baseline"/>
        </w:rPr>
        <w:t>taken of the facts of compliance asserted</w:t>
      </w:r>
      <w:r>
        <w:rPr>
          <w:rFonts w:ascii="Times New Roman Italic" w:hAnsi="Times New Roman Italic"/>
          <w:color w:val="000000"/>
          <w:spacing w:val="0"/>
          <w:w w:val="103"/>
          <w:position w:val="0"/>
          <w:sz w:val="24"/>
          <w:szCs w:val="24"/>
          <w:u w:val="none"/>
          <w:vertAlign w:val="baseline"/>
        </w:rPr>
        <w:t>in</w:t>
      </w:r>
      <w:r>
        <w:rPr>
          <w:rFonts w:ascii="Times New Roman" w:hAnsi="Times New Roman"/>
          <w:color w:val="000000"/>
          <w:spacing w:val="0"/>
          <w:w w:val="103"/>
          <w:position w:val="0"/>
          <w:sz w:val="24"/>
          <w:szCs w:val="24"/>
          <w:u w:val="none"/>
          <w:vertAlign w:val="baseline"/>
        </w:rPr>
        <w:t xml:space="preserve">the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declaration, at least where, as here, Intengan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has alleged and argued that the declaration is </w:t>
        <w:br/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false and the facts asserted in the declaration are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reasonably subject to dispute. (See, e.g.,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Joslin</w:t>
      </w:r>
    </w:p>
    <w:p>
      <w:pPr>
        <w:spacing w:before="1" w:line="259" w:lineRule="exact"/>
        <w:ind w:left="20" w:right="675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>v. H.A.S. Ins. Brokerage</w:t>
      </w:r>
      <w:r>
        <w:rPr>
          <w:rFonts w:ascii="Times New Roman" w:hAnsi="Times New Roman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(1986) 184 Cal.App.3d </w:t>
      </w:r>
      <w:r>
        <w:rPr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>369, 374-376 [228 Cal. Rptr. 878]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(</w:t>
      </w:r>
      <w:r>
        <w:rPr>
          <w:rFonts w:ascii="Times New Roman Italic" w:hAnsi="Times New Roman Italic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Joslin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)</w:t>
      </w:r>
    </w:p>
    <w:p>
      <w:pPr>
        <w:spacing w:before="1" w:line="259" w:lineRule="exact"/>
        <w:ind w:left="20" w:right="639"/>
        <w:jc w:val="left"/>
        <w:rPr>
          <w:rFonts w:ascii="Times New Roman" w:hAnsi="Times New Roman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[facts disclosed in a deposition and not dis-</w:t>
        <w:br/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puted could be considered in ruling on a demur-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rer, but facts disclosed in the deposition that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were disputed could not be, since “ ‘judicial no-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tice of matters upon demurrer will be disposi-</w:t>
        <w:br/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tive only in those instances where there is not or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cannot be a factual dispute concerning that </w:t>
        <w:br/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which is sought to be judicially noticed.’ ”].) In-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deed, respondents only sought judicial notice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of the documents attached to its request, not the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underlying fact of its attempt to contact Inten-</w:t>
        <w:br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gan.</w:t>
      </w:r>
    </w:p>
    <w:p>
      <w:pPr>
        <w:spacing w:before="200" w:line="259" w:lineRule="exact"/>
        <w:ind w:left="20" w:right="639"/>
        <w:jc w:val="both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Taking judicial notice that the bank actually per-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formed certain acts that might constitute com-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pliance with its statutory obligations, based</w:t>
      </w:r>
    </w:p>
    <w:p>
      <w:pPr>
        <w:spacing w:before="0" w:line="259" w:lineRule="exact"/>
        <w:ind w:left="20" w:right="643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solely on a declaration that avers compliance </w:t>
      </w:r>
      <w:r>
        <w:rPr>
          <w:rFonts w:ascii="Times New Roman" w:hAnsi="Times New Roman"/>
          <w:color w:val="000000"/>
          <w:spacing w:val="0"/>
          <w:w w:val="106"/>
          <w:position w:val="0"/>
          <w:sz w:val="24"/>
          <w:szCs w:val="24"/>
          <w:u w:val="none"/>
          <w:vertAlign w:val="baseline"/>
        </w:rPr>
        <w:t xml:space="preserve">in a conclusory manner, would of course be 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vastly different than merely taking judicial no-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tice that the declaration was signed and at-</w:t>
      </w:r>
    </w:p>
    <w:p>
      <w:pPr>
        <w:spacing w:before="0" w:line="259" w:lineRule="exact"/>
        <w:ind w:left="20" w:right="639" w:firstLine="0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tached to the notice</w:t>
      </w:r>
      <w:r>
        <w:rPr>
          <w:rFonts w:ascii="Times New Roman Bold" w:hAnsi="Times New Roman Bold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[*20]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 of default (or, as dis-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cussed</w:t>
      </w:r>
      <w:r>
        <w:rPr>
          <w:rFonts w:ascii="Times New Roman Italic" w:hAnsi="Times New Roman Italic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ante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, from taking judicial notice of the </w:t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legal effect of a legally operative deed of trust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that names its beneficiary). At least in this</w:t>
      </w:r>
    </w:p>
    <w:p>
      <w:pPr>
        <w:spacing w:before="1" w:line="259" w:lineRule="exact"/>
        <w:ind w:left="20" w:right="639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case, what the bank actually did to comply with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the statute is reasonably subject to dispute</w:t>
      </w:r>
    </w:p>
    <w:p>
      <w:pPr>
        <w:spacing w:before="1" w:line="259" w:lineRule="exact"/>
        <w:ind w:left="20" w:right="639"/>
        <w:jc w:val="both"/>
        <w:rPr>
          <w:rFonts w:ascii="Times New Roman" w:hAnsi="Times New Roman"/>
          <w:color w:val="000000"/>
          <w:spacing w:val="0"/>
          <w:w w:val="105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and cannot be judicially noticed, even though </w:t>
        <w:br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the existence of the declaration (and the legal ef-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fect of a deed of trust) is not reasonably sub-</w:t>
        <w:br/>
      </w:r>
      <w:r>
        <w:rPr>
          <w:rFonts w:ascii="Times New Roman" w:hAnsi="Times New Roman"/>
          <w:color w:val="000000"/>
          <w:spacing w:val="0"/>
          <w:w w:val="105"/>
          <w:position w:val="0"/>
          <w:sz w:val="24"/>
          <w:szCs w:val="24"/>
          <w:u w:val="none"/>
          <w:vertAlign w:val="baseline"/>
        </w:rPr>
        <w:t xml:space="preserve">ject to dispute and can be judicially noticed. </w:t>
      </w:r>
    </w:p>
    <w:p>
      <w:pPr>
        <w:rPr>
          <w:rFonts w:ascii="Times New Roman" w:hAnsi="Times New Roman"/>
          <w:color w:val="000000"/>
          <w:spacing w:val="0"/>
          <w:w w:val="105"/>
          <w:position w:val="0"/>
          <w:u w:val="none"/>
          <w:vertAlign w:val="baseline"/>
        </w:rPr>
        <w:sectPr>
          <w:type w:val="continuous"/>
          <w:pgSz w:w="12220" w:h="15820"/>
          <w:pgMar w:top="431" w:right="431" w:bottom="431" w:left="431" w:header="720" w:footer="720"/>
          <w:cols w:num="2" w:space="720" w:equalWidth="0">
            <w:col w:w="5647" w:space="160"/>
            <w:col w:w="5409" w:space="160"/>
          </w:cols>
        </w:sectPr>
      </w:pPr>
    </w:p>
    <w:p>
      <w:pPr>
        <w:spacing w:before="0" w:line="230" w:lineRule="exact"/>
        <w:ind w:left="5183"/>
        <w:jc w:val="left"/>
        <w:rPr>
          <w:rFonts w:ascii="Times New Roman" w:hAnsi="Times New Roman"/>
          <w:color w:val="000000"/>
          <w:spacing w:val="0"/>
          <w:w w:val="105"/>
          <w:position w:val="0"/>
          <w:u w:val="none"/>
          <w:vertAlign w:val="baseline"/>
        </w:rPr>
      </w:pPr>
    </w:p>
    <w:p>
      <w:pPr>
        <w:spacing w:before="50" w:line="230" w:lineRule="exact"/>
        <w:ind w:left="5183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 xml:space="preserve">Charles Cox </w:t>
      </w:r>
    </w:p>
    <w:p>
      <w:pPr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  <w:sectPr>
          <w:type w:val="continuous"/>
          <w:pgSz w:w="12220" w:h="15820"/>
          <w:pgMar w:top="431" w:right="431" w:bottom="431" w:left="431" w:header="720" w:footer="720"/>
          <w:cols w:space="720"/>
        </w:sectPr>
      </w:pPr>
    </w:p>
    <w:p>
      <w:pPr>
        <w:spacing w:before="178" w:line="230" w:lineRule="exact"/>
        <w:ind w:left="9332"/>
        <w:jc w:val="left"/>
        <w:rPr>
          <w:rFonts w:ascii="Times New Roman" w:hAnsi="Times New Roman"/>
          <w:color w:val="000000"/>
          <w:spacing w:val="0"/>
          <w:w w:val="101"/>
          <w:position w:val="0"/>
          <w:sz w:val="20"/>
          <w:u w:val="none"/>
          <w:vertAlign w:val="baseline"/>
        </w:rPr>
      </w:pPr>
      <w:bookmarkStart w:id="10" w:name="Pg11"/>
      <w:bookmarkEnd w:id="10"/>
      <w:r>
        <w:rPr>
          <w:rFonts w:ascii="Times New Roman" w:hAnsi="Times New Roman"/>
          <w:color w:val="000000"/>
          <w:spacing w:val="0"/>
          <w:w w:val="101"/>
          <w:position w:val="0"/>
          <w:sz w:val="20"/>
          <w:szCs w:val="24"/>
          <w:u w:val="none"/>
          <w:vertAlign w:val="baseline"/>
        </w:rPr>
        <w:t xml:space="preserve">Page 10 of 11 </w:t>
      </w:r>
    </w:p>
    <w:p>
      <w:pPr>
        <w:spacing w:before="10" w:line="230" w:lineRule="exact"/>
        <w:ind w:left="4410"/>
        <w:jc w:val="left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2013 Cal. App. LEXIS 225, *20</w:t>
      </w:r>
    </w:p>
    <w:p>
      <w:pPr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  <w:sectPr>
          <w:pgSz w:w="12220" w:h="15820"/>
          <w:pgMar w:top="431" w:right="431" w:bottom="431" w:left="431" w:header="720" w:footer="720"/>
          <w:cols w:space="720"/>
        </w:sectPr>
      </w:pPr>
    </w:p>
    <w:p>
      <w:pPr>
        <w:spacing w:before="0" w:line="259" w:lineRule="exact"/>
        <w:ind w:left="898"/>
        <w:jc w:val="both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</w:p>
    <w:p>
      <w:pPr>
        <w:spacing w:before="41" w:line="259" w:lineRule="exact"/>
        <w:ind w:left="898" w:right="227"/>
        <w:jc w:val="both"/>
        <w:rPr>
          <w:rFonts w:ascii="Times New Roman" w:hAnsi="Times New Roman"/>
          <w:color w:val="0000FF"/>
          <w:spacing w:val="0"/>
          <w:w w:val="100"/>
          <w:position w:val="0"/>
          <w:u w:val="singl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(See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Skov v. U.S. Bank National Assn.</w:t>
      </w:r>
      <w:r>
        <w:rPr>
          <w:rFonts w:ascii="Times New Roman" w:hAnsi="Times New Roman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(2012) </w:t>
        <w:br/>
      </w:r>
      <w:r>
        <w:rPr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>207 Cal.App.4th 690, 696 [143 Cal. Rptr. 3d</w:t>
      </w:r>
    </w:p>
    <w:p>
      <w:pPr>
        <w:spacing w:before="0" w:line="259" w:lineRule="exact"/>
        <w:ind w:left="898" w:right="0"/>
        <w:jc w:val="both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FF"/>
          <w:spacing w:val="-3"/>
          <w:w w:val="100"/>
          <w:position w:val="0"/>
          <w:sz w:val="24"/>
          <w:szCs w:val="24"/>
          <w:u w:val="single"/>
          <w:vertAlign w:val="baseline"/>
        </w:rPr>
        <w:t>694]</w:t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(</w:t>
      </w:r>
      <w:r>
        <w:rPr>
          <w:rFonts w:ascii="Times New Roman Italic" w:hAnsi="Times New Roman Italic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Skov</w:t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) [where bank sought judicial notice of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a notice of default declaration stating compli-</w:t>
        <w:br/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ance with</w:t>
      </w:r>
      <w:r>
        <w:rPr>
          <w:rFonts w:ascii="Times New Roman Italic" w:hAnsi="Times New Roman Italic"/>
          <w:color w:val="0000FF"/>
          <w:spacing w:val="-2"/>
          <w:w w:val="100"/>
          <w:position w:val="0"/>
          <w:sz w:val="24"/>
          <w:szCs w:val="24"/>
          <w:u w:val="single"/>
          <w:vertAlign w:val="baseline"/>
        </w:rPr>
        <w:t xml:space="preserve"> Civ. Code, § 2923.5</w: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, whether the bank 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“complied with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section 2923.5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is the type of</w:t>
      </w:r>
    </w:p>
    <w:p>
      <w:pPr>
        <w:spacing w:before="0" w:line="259" w:lineRule="exact"/>
        <w:ind w:left="898" w:right="98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fact that is reasonably subject to dispute, and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thus, not a proper subject of judicial notice”].)</w:t>
      </w:r>
    </w:p>
    <w:p>
      <w:pPr>
        <w:spacing w:before="141" w:line="259" w:lineRule="exact"/>
        <w:ind w:left="898" w:right="0" w:firstLine="0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Furthermore, even if the “facts” stated in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Jones’s declaration</w:t>
      </w:r>
      <w:r>
        <w:rPr>
          <w:rFonts w:ascii="Times New Roman Italic" w:hAnsi="Times New Roman Italic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could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be the subject of judi-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cial notice, the declaration contains only a con-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clusory assertion thatBank of Americacom-</w:t>
        <w:br/>
      </w: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plied with the statute: nowhere does it state </w:t>
        <w:br/>
      </w:r>
      <w:r>
        <w:rPr>
          <w:rFonts w:ascii="Times New Roman" w:hAnsi="Times New Roman"/>
          <w:color w:val="000000"/>
          <w:spacing w:val="-4"/>
          <w:w w:val="100"/>
          <w:position w:val="0"/>
          <w:sz w:val="24"/>
          <w:szCs w:val="24"/>
          <w:u w:val="none"/>
          <w:vertAlign w:val="baseline"/>
        </w:rPr>
        <w:t>when, how, or by whom the elements of due dili-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gence were accomplished, or how the de-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clarant knew if they were.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superscript"/>
        </w:rPr>
        <w:t>3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More importantly, </w:t>
        <w:br/>
      </w: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 xml:space="preserve">the most these averments could do is create a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factual dispute</w:t>
      </w:r>
      <w:r>
        <w:rPr>
          <w:rFonts w:ascii="Times New Roman Bold" w:hAnsi="Times New Roman Bold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[*21]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 as to whether respondents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complied with the statute. (See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Mabry, supra</w:t>
      </w:r>
      <w:r>
        <w:rPr>
          <w:rFonts w:ascii="Times New Roman" w:hAnsi="Times New Roman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, </w:t>
        <w:br/>
      </w:r>
      <w:r>
        <w:rPr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>185 Cal.App.4th at pp. 235-236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[competing ac-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counts as to possibility of compliance with-</w:t>
        <w:br/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Civ. Code, § 2923.5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created conflict in the evi-</w:t>
        <w:br/>
      </w:r>
      <w:r>
        <w:rPr>
          <w:rFonts w:ascii="Times New Roman" w:hAnsi="Times New Roman"/>
          <w:color w:val="000000"/>
          <w:spacing w:val="0"/>
          <w:w w:val="105"/>
          <w:position w:val="0"/>
          <w:sz w:val="24"/>
          <w:szCs w:val="24"/>
          <w:u w:val="none"/>
          <w:vertAlign w:val="baseline"/>
        </w:rPr>
        <w:t>dence].)</w:t>
      </w:r>
      <w:r>
        <w:rPr>
          <w:rFonts w:ascii="Times New Roman Bold Italic" w:hAnsi="Times New Roman Bold Italic"/>
          <w:color w:val="000000"/>
          <w:spacing w:val="0"/>
          <w:w w:val="105"/>
          <w:position w:val="0"/>
          <w:sz w:val="24"/>
          <w:szCs w:val="24"/>
          <w:u w:val="none"/>
          <w:vertAlign w:val="baseline"/>
        </w:rPr>
        <w:t>HN9</w:t>
      </w:r>
      <w:r>
        <w:rPr>
          <w:rFonts w:ascii="Times New Roman" w:hAnsi="Times New Roman"/>
          <w:color w:val="000000"/>
          <w:spacing w:val="0"/>
          <w:w w:val="105"/>
          <w:position w:val="0"/>
          <w:sz w:val="24"/>
          <w:szCs w:val="24"/>
          <w:u w:val="none"/>
          <w:vertAlign w:val="baseline"/>
        </w:rPr>
        <w:t xml:space="preserve"> A demurrer is “ ‘simply not the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appropriate procedure for determining the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truth of disputed facts.’ ” (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Joslin, supra</w:t>
      </w:r>
      <w:r>
        <w:rPr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, 184 </w:t>
        <w:br/>
      </w:r>
      <w:r>
        <w:rPr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Cal.App.3d  at  p. </w:t>
      </w:r>
      <w:r>
        <w:rPr>
          <w:rFonts w:ascii="Times New Roman" w:hAnsi="Times New Roman"/>
          <w:color w:val="0000FF"/>
          <w:spacing w:val="-2"/>
          <w:w w:val="100"/>
          <w:position w:val="0"/>
          <w:sz w:val="24"/>
          <w:szCs w:val="24"/>
          <w:u w:val="none"/>
          <w:vertAlign w:val="baseline"/>
        </w:rPr>
        <w:t>374</w: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;  see</w:t>
      </w:r>
      <w:r>
        <w:rPr>
          <w:rFonts w:ascii="Times New Roman Italic" w:hAnsi="Times New Roman Italic"/>
          <w:color w:val="0000FF"/>
          <w:spacing w:val="-2"/>
          <w:w w:val="100"/>
          <w:position w:val="0"/>
          <w:sz w:val="24"/>
          <w:szCs w:val="24"/>
          <w:u w:val="none"/>
          <w:vertAlign w:val="baseline"/>
        </w:rPr>
        <w:t>Skov,  supra</w:t>
      </w:r>
      <w:r>
        <w:rPr>
          <w:rFonts w:ascii="Times New Roman" w:hAnsi="Times New Roman"/>
          <w:color w:val="0000FF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, </w:t>
      </w:r>
      <w:r>
        <w:rPr>
          <w:rFonts w:ascii="Times New Roman" w:hAnsi="Times New Roman"/>
          <w:color w:val="0000FF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207 </w:t>
        <w:br/>
      </w:r>
      <w:r>
        <w:rPr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Cal.App.4th at pp. 696-697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[assuming the truth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of the plaintiff’s allegations, a disputed issue </w:t>
        <w:br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of compliance with</w:t>
      </w:r>
      <w:r>
        <w:rPr>
          <w:rFonts w:ascii="Times New Roman Italic" w:hAnsi="Times New Roman Italic"/>
          <w:color w:val="0000FF"/>
          <w:spacing w:val="-3"/>
          <w:w w:val="100"/>
          <w:position w:val="0"/>
          <w:sz w:val="24"/>
          <w:szCs w:val="24"/>
          <w:u w:val="single"/>
          <w:vertAlign w:val="baseline"/>
        </w:rPr>
        <w:t xml:space="preserve"> Civ. Code, § 2923.5</w:t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cannot be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resolved at the demurrer stage]; see also</w:t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 xml:space="preserve"> Barri-</w:t>
        <w:br/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>onuevo, supra</w:t>
      </w:r>
      <w:r>
        <w:rPr>
          <w:rFonts w:ascii="Times New Roman" w:hAnsi="Times New Roman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, 885 F.Supp.2d 964, 976-</w:t>
        <w:br/>
      </w:r>
      <w:r>
        <w:rPr>
          <w:rFonts w:ascii="Times New Roman" w:hAnsi="Times New Roman"/>
          <w:color w:val="0000FF"/>
          <w:spacing w:val="-3"/>
          <w:w w:val="100"/>
          <w:position w:val="0"/>
          <w:sz w:val="24"/>
          <w:szCs w:val="24"/>
          <w:u w:val="single"/>
          <w:vertAlign w:val="baseline"/>
        </w:rPr>
        <w:t>977</w:t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[borrowers’ allegation that bank did not con-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tact them before filing the notice of default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was sufficient to state a violation of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Civ. Code, </w:t>
        <w:br/>
      </w:r>
      <w:r>
        <w:rPr>
          <w:rFonts w:ascii="Times New Roman Italic" w:hAnsi="Times New Roman Italic"/>
          <w:color w:val="0000FF"/>
          <w:spacing w:val="-2"/>
          <w:w w:val="100"/>
          <w:position w:val="0"/>
          <w:sz w:val="24"/>
          <w:szCs w:val="24"/>
          <w:u w:val="single"/>
          <w:vertAlign w:val="baseline"/>
        </w:rPr>
        <w:t>§ 2923.5</w: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, despite judicial notice taken of dec-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laration in notice of default that asserted statu-</w:t>
        <w:br/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tory compliance];</w:t>
      </w:r>
      <w:r>
        <w:rPr>
          <w:rFonts w:ascii="Times New Roman Italic" w:hAnsi="Times New Roman Italic"/>
          <w:color w:val="0000FF"/>
          <w:spacing w:val="-3"/>
          <w:w w:val="100"/>
          <w:position w:val="0"/>
          <w:sz w:val="24"/>
          <w:szCs w:val="24"/>
          <w:u w:val="single"/>
          <w:vertAlign w:val="baseline"/>
        </w:rPr>
        <w:t xml:space="preserve"> Argueta v. J.P. Morgan </w:t>
        <w:br/>
      </w:r>
      <w:r>
        <w:rPr>
          <w:rFonts w:ascii="Times New Roman Italic" w:hAnsi="Times New Roman Italic"/>
          <w:color w:val="0000FF"/>
          <w:spacing w:val="-2"/>
          <w:w w:val="100"/>
          <w:position w:val="0"/>
          <w:sz w:val="24"/>
          <w:szCs w:val="24"/>
          <w:u w:val="single"/>
          <w:vertAlign w:val="baseline"/>
        </w:rPr>
        <w:t>Chase</w:t>
      </w:r>
      <w:r>
        <w:rPr>
          <w:rFonts w:ascii="Times New Roman" w:hAnsi="Times New Roman"/>
          <w:color w:val="0000FF"/>
          <w:spacing w:val="-2"/>
          <w:w w:val="100"/>
          <w:position w:val="0"/>
          <w:sz w:val="24"/>
          <w:szCs w:val="24"/>
          <w:u w:val="single"/>
          <w:vertAlign w:val="baseline"/>
        </w:rPr>
        <w:t xml:space="preserve"> (E.D.Cal. 2011) 787 F.Supp.2d 1099, </w:t>
        <w:br/>
      </w:r>
      <w:r>
        <w:rPr>
          <w:rFonts w:ascii="Times New Roman" w:hAnsi="Times New Roman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>1107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(</w:t>
      </w:r>
      <w:r>
        <w:rPr>
          <w:rFonts w:ascii="Times New Roman Italic" w:hAnsi="Times New Roman Italic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Argueta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) [despite judicial notice of notice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of default including declaration of compli-</w:t>
        <w:br/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ance with</w:t>
      </w:r>
      <w:r>
        <w:rPr>
          <w:rFonts w:ascii="Times New Roman Italic" w:hAnsi="Times New Roman Italic"/>
          <w:color w:val="0000FF"/>
          <w:spacing w:val="-2"/>
          <w:w w:val="100"/>
          <w:position w:val="0"/>
          <w:sz w:val="24"/>
          <w:szCs w:val="24"/>
          <w:u w:val="single"/>
          <w:vertAlign w:val="baseline"/>
        </w:rPr>
        <w:t xml:space="preserve"> Civ. Code, § 2923.5</w: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, plaintiff’s allega-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tions were sufficient to preclude dismissal</w:t>
      </w:r>
    </w:p>
    <w:p>
      <w:pPr>
        <w:spacing w:before="0" w:line="259" w:lineRule="exact"/>
        <w:ind w:left="5807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br w:type="column"/>
      </w:r>
    </w:p>
    <w:p>
      <w:pPr>
        <w:spacing w:before="41" w:line="259" w:lineRule="exact"/>
        <w:ind w:left="20" w:right="639" w:firstLine="0"/>
        <w:jc w:val="left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where plaintiffs alleged that they did not re-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ceive phone calls,</w:t>
      </w:r>
      <w:r>
        <w:rPr>
          <w:rFonts w:ascii="Times New Roman Bold" w:hAnsi="Times New Roman Bold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[*22]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phone messages, or let-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ters before the notice of default was re-</w:t>
      </w:r>
    </w:p>
    <w:p>
      <w:pPr>
        <w:spacing w:before="1" w:line="259" w:lineRule="exact"/>
        <w:ind w:left="20"/>
        <w:jc w:val="left"/>
        <w:rPr>
          <w:rFonts w:ascii="Times New Roman" w:hAnsi="Times New Roman"/>
          <w:color w:val="000000"/>
          <w:spacing w:val="-3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corded].)</w:t>
      </w:r>
    </w:p>
    <w:p>
      <w:pPr>
        <w:spacing w:before="200" w:line="259" w:lineRule="exact"/>
        <w:ind w:left="20" w:right="675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 xml:space="preserve">On this basis, Intengan stated a cause of action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for wrongful foreclosure based on the pur-</w:t>
      </w:r>
    </w:p>
    <w:p>
      <w:pPr>
        <w:spacing w:before="1" w:line="259" w:lineRule="exact"/>
        <w:ind w:left="20" w:right="669"/>
        <w:jc w:val="both"/>
        <w:rPr>
          <w:rFonts w:ascii="Times New Roman" w:hAnsi="Times New Roman"/>
          <w:color w:val="000000"/>
          <w:spacing w:val="-2"/>
          <w:w w:val="100"/>
          <w:position w:val="0"/>
          <w:u w:val="none"/>
          <w:vertAlign w:val="superscript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ported failure to comply with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Civil Code sec-</w:t>
        <w:br/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>tion 2923.5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before recordation of the notice of </w:t>
      </w:r>
      <w:r>
        <w:rPr>
          <w:rFonts w:ascii="Times New Roman" w:hAnsi="Times New Roman"/>
          <w:color w:val="000000"/>
          <w:spacing w:val="0"/>
          <w:w w:val="103"/>
          <w:position w:val="0"/>
          <w:sz w:val="24"/>
          <w:szCs w:val="24"/>
          <w:u w:val="none"/>
          <w:vertAlign w:val="baseline"/>
        </w:rPr>
        <w:t xml:space="preserve">default. For this reason, it was error to sustain </w: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the demurrer.</w: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superscript"/>
        </w:rPr>
        <w:t>4</w:t>
      </w:r>
    </w:p>
    <w:p>
      <w:pPr>
        <w:spacing w:before="246" w:line="276" w:lineRule="exact"/>
        <w:ind w:left="20"/>
        <w:jc w:val="left"/>
        <w:rPr>
          <w:rFonts w:ascii="Times New Roman Bold" w:hAnsi="Times New Roman Bold"/>
          <w:color w:val="000000"/>
          <w:spacing w:val="0"/>
          <w:w w:val="103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3"/>
          <w:position w:val="0"/>
          <w:sz w:val="24"/>
          <w:szCs w:val="24"/>
          <w:u w:val="none"/>
          <w:vertAlign w:val="baseline"/>
        </w:rPr>
        <w:t>2.-10.</w:t>
      </w:r>
      <w:r>
        <w:rPr>
          <w:rFonts w:ascii="Times New Roman" w:hAnsi="Times New Roman"/>
          <w:color w:val="000000"/>
          <w:spacing w:val="0"/>
          <w:w w:val="103"/>
          <w:position w:val="0"/>
          <w:sz w:val="24"/>
          <w:szCs w:val="24"/>
          <w:u w:val="none"/>
          <w:vertAlign w:val="superscript"/>
        </w:rPr>
        <w:t>*</w:t>
      </w:r>
      <w:r>
        <w:rPr>
          <w:rFonts w:ascii="Times New Roman Bold" w:hAnsi="Times New Roman Bold"/>
          <w:color w:val="000000"/>
          <w:spacing w:val="0"/>
          <w:w w:val="103"/>
          <w:position w:val="0"/>
          <w:sz w:val="24"/>
          <w:szCs w:val="24"/>
          <w:u w:val="none"/>
          <w:vertAlign w:val="baseline"/>
        </w:rPr>
        <w:t xml:space="preserve"> [*23]</w:t>
      </w:r>
    </w:p>
    <w:p>
      <w:pPr>
        <w:spacing w:before="243" w:line="276" w:lineRule="exact"/>
        <w:ind w:left="20"/>
        <w:jc w:val="left"/>
        <w:rPr>
          <w:rFonts w:ascii="Times New Roman Italic" w:hAnsi="Times New Roman Italic"/>
          <w:color w:val="000000"/>
          <w:spacing w:val="-2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11.</w:t>
      </w:r>
      <w:r>
        <w:rPr>
          <w:rFonts w:ascii="Times New Roman Italic" w:hAnsi="Times New Roman Italic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Intengan’s Other Arguments</w:t>
      </w:r>
    </w:p>
    <w:p>
      <w:pPr>
        <w:spacing w:before="198" w:line="259" w:lineRule="exact"/>
        <w:ind w:left="20" w:right="641"/>
        <w:jc w:val="both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Intengan contends that the court’s ruling on the 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demurrer “is partial and therefore inconsistent 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with California statutory and case law,”</w:t>
      </w:r>
    </w:p>
    <w:p>
      <w:pPr>
        <w:spacing w:before="1" w:line="259" w:lineRule="exact"/>
        <w:ind w:left="20" w:right="734"/>
        <w:jc w:val="both"/>
        <w:rPr>
          <w:rFonts w:ascii="Times New Roman" w:hAnsi="Times New Roman"/>
          <w:color w:val="000000"/>
          <w:spacing w:val="0"/>
          <w:w w:val="11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“amounts to a constructive tax” in violation of </w: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her constitutional rights, violates her constitu-</w:t>
        <w:br/>
      </w:r>
      <w:r>
        <w:rPr>
          <w:rFonts w:ascii="Times New Roman" w:hAnsi="Times New Roman"/>
          <w:color w:val="000000"/>
          <w:spacing w:val="0"/>
          <w:w w:val="102"/>
          <w:position w:val="0"/>
          <w:sz w:val="24"/>
          <w:szCs w:val="24"/>
          <w:u w:val="none"/>
          <w:vertAlign w:val="baseline"/>
        </w:rPr>
        <w:t>tional right to be free from illegal takings, re-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sulted from a misapplication of law and igno-</w:t>
        <w:br/>
      </w:r>
      <w:r>
        <w:rPr>
          <w:rFonts w:ascii="Times New Roman" w:hAnsi="Times New Roman"/>
          <w:color w:val="000000"/>
          <w:spacing w:val="0"/>
          <w:w w:val="110"/>
          <w:position w:val="0"/>
          <w:sz w:val="24"/>
          <w:szCs w:val="24"/>
          <w:u w:val="none"/>
          <w:vertAlign w:val="baseline"/>
        </w:rPr>
        <w:t>rance of the facts, and violates her</w:t>
      </w:r>
    </w:p>
    <w:p>
      <w:pPr>
        <w:spacing w:before="0" w:line="259" w:lineRule="exact"/>
        <w:ind w:left="20" w:right="639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“Constitutional Right to separation of powers.”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She contends that “[n]oevidence exists in the </w:t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 xml:space="preserve">record that Judge Swope had any probable cause </w:t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to institute any forfeiture action against Appel-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lant Intengan</w:t>
      </w:r>
      <w:r>
        <w:rPr>
          <w:rFonts w:ascii="Times New Roman Bold" w:hAnsi="Times New Roman Bold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[*24]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 by the Wrongful Demur-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rer Ruling resulting in the loss of Appellant In-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tengan’s lawsuit.” She asserts that the</w:t>
      </w:r>
    </w:p>
    <w:p>
      <w:pPr>
        <w:spacing w:before="0" w:line="259" w:lineRule="exact"/>
        <w:ind w:left="20" w:right="642"/>
        <w:jc w:val="both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“refusals” ofBank of Americaand the trial court </w:t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“resemble an Orwellian conundrum.” She “fur-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ther requests that this Court piece together Ap-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pellant Intengan’s Constitutional Right that</w:t>
      </w:r>
    </w:p>
    <w:p>
      <w:pPr>
        <w:spacing w:before="1" w:line="259" w:lineRule="exact"/>
        <w:ind w:left="20" w:right="747"/>
        <w:jc w:val="both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Judge Swope and RespondentsBank of Ameri-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cashattered Humpty Dumpty-like due to</w:t>
      </w:r>
    </w:p>
    <w:p>
      <w:pPr>
        <w:spacing w:before="1" w:line="259" w:lineRule="exact"/>
        <w:ind w:left="20" w:right="639"/>
        <w:jc w:val="both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their acts of partiality, misapplication of law, ig-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norance of facts and unconstitutionality and</w:t>
      </w:r>
    </w:p>
    <w:p>
      <w:pPr>
        <w:spacing w:before="0" w:line="259" w:lineRule="exact"/>
        <w:ind w:left="20" w:right="682"/>
        <w:jc w:val="both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by their refusals to contemplate the gravity of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their  decisionmaking  before  proceeding  con-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trary to law.” Intengan additionally refers us 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to Lewis Carroll’s Alice’s Adventures in Won-</w:t>
      </w:r>
    </w:p>
    <w:p>
      <w:pPr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  <w:sectPr>
          <w:type w:val="continuous"/>
          <w:pgSz w:w="12220" w:h="15820"/>
          <w:pgMar w:top="431" w:right="431" w:bottom="431" w:left="431" w:header="720" w:footer="720"/>
          <w:cols w:num="2" w:space="720" w:equalWidth="0">
            <w:col w:w="5647" w:space="160"/>
            <w:col w:w="5409" w:space="160"/>
          </w:cols>
        </w:sectPr>
      </w:pPr>
    </w:p>
    <w:p>
      <w:pPr>
        <w:spacing w:before="0" w:line="220" w:lineRule="exact"/>
        <w:ind w:left="898"/>
        <w:jc w:val="both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tabs>
          <w:tab w:val="left" w:pos="1148"/>
        </w:tabs>
        <w:spacing w:before="144" w:line="220" w:lineRule="exact"/>
        <w:ind w:left="898" w:right="741"/>
        <w:jc w:val="both"/>
        <w:rPr>
          <w:rFonts w:ascii="Times New Roman" w:hAnsi="Times New Roman"/>
          <w:color w:val="000000"/>
          <w:spacing w:val="0"/>
          <w:w w:val="102"/>
          <w:position w:val="0"/>
          <w:sz w:val="18"/>
          <w:u w:val="none"/>
          <w:vertAlign w:val="baseline"/>
        </w:rPr>
      </w:pPr>
      <w:r>
        <w:rPr>
          <w:rFonts w:ascii="Times New Roman" w:hAnsi="Times New Roman"/>
          <w:color w:val="000000"/>
          <w:spacing w:val="-2"/>
          <w:w w:val="100"/>
          <w:position w:val="0"/>
          <w:sz w:val="12"/>
          <w:szCs w:val="24"/>
          <w:u w:val="none"/>
          <w:vertAlign w:val="baseline"/>
        </w:rPr>
        <w:t xml:space="preserve">3 </w:t>
        <w:tab/>
      </w:r>
      <w:r>
        <w:rPr>
          <w:rFonts w:ascii="Times New Roman" w:hAnsi="Times New Roman"/>
          <w:color w:val="000000"/>
          <w:spacing w:val="0"/>
          <w:w w:val="100"/>
          <w:position w:val="-3"/>
          <w:sz w:val="18"/>
          <w:szCs w:val="24"/>
          <w:u w:val="none"/>
          <w:vertAlign w:val="baseline"/>
        </w:rPr>
        <w:t>This detail might not be necessary for the</w:t>
      </w:r>
      <w:r>
        <w:rPr>
          <w:rFonts w:ascii="Times New Roman Italic" w:hAnsi="Times New Roman Italic"/>
          <w:color w:val="000000"/>
          <w:spacing w:val="0"/>
          <w:w w:val="100"/>
          <w:position w:val="-3"/>
          <w:sz w:val="18"/>
          <w:szCs w:val="24"/>
          <w:u w:val="none"/>
          <w:vertAlign w:val="baseline"/>
        </w:rPr>
        <w:t>declaration</w:t>
      </w:r>
      <w:r>
        <w:rPr>
          <w:rFonts w:ascii="Times New Roman" w:hAnsi="Times New Roman"/>
          <w:color w:val="000000"/>
          <w:spacing w:val="0"/>
          <w:w w:val="100"/>
          <w:position w:val="-3"/>
          <w:sz w:val="18"/>
          <w:szCs w:val="24"/>
          <w:u w:val="none"/>
          <w:vertAlign w:val="baseline"/>
        </w:rPr>
        <w:t>to meet the requirements of the statute. (</w:t>
      </w:r>
      <w:r>
        <w:rPr>
          <w:rFonts w:ascii="Times New Roman Italic" w:hAnsi="Times New Roman Italic"/>
          <w:color w:val="0000FF"/>
          <w:spacing w:val="0"/>
          <w:w w:val="100"/>
          <w:position w:val="-3"/>
          <w:sz w:val="18"/>
          <w:szCs w:val="24"/>
          <w:u w:val="single"/>
          <w:vertAlign w:val="baseline"/>
        </w:rPr>
        <w:t xml:space="preserve"> Mabry, supra</w:t>
      </w:r>
      <w:r>
        <w:rPr>
          <w:rFonts w:ascii="Times New Roman" w:hAnsi="Times New Roman"/>
          <w:color w:val="0000FF"/>
          <w:spacing w:val="0"/>
          <w:w w:val="100"/>
          <w:position w:val="-3"/>
          <w:sz w:val="18"/>
          <w:szCs w:val="24"/>
          <w:u w:val="single"/>
          <w:vertAlign w:val="baseline"/>
        </w:rPr>
        <w:t xml:space="preserve"> , 185 Cal.App.4th </w:t>
        <w:br/>
      </w:r>
      <w:r>
        <w:rPr>
          <w:rFonts w:ascii="Times New Roman" w:hAnsi="Times New Roman"/>
          <w:color w:val="0000FF"/>
          <w:spacing w:val="0"/>
          <w:w w:val="102"/>
          <w:position w:val="0"/>
          <w:sz w:val="18"/>
          <w:szCs w:val="24"/>
          <w:u w:val="single"/>
          <w:vertAlign w:val="baseline"/>
        </w:rPr>
        <w:t>at p. 235</w:t>
      </w:r>
      <w:r>
        <w:rPr>
          <w:rFonts w:ascii="Times New Roman" w:hAnsi="Times New Roman"/>
          <w:color w:val="000000"/>
          <w:spacing w:val="0"/>
          <w:w w:val="102"/>
          <w:position w:val="0"/>
          <w:sz w:val="18"/>
          <w:szCs w:val="24"/>
          <w:u w:val="none"/>
          <w:vertAlign w:val="baseline"/>
        </w:rPr>
        <w:t>.) But at issue here is not the sufficiency of the declaration’s form, but whether it can be said, as a matter of law, that re-</w:t>
        <w:br/>
      </w:r>
      <w:r>
        <w:rPr>
          <w:rFonts w:ascii="Times New Roman" w:hAnsi="Times New Roman"/>
          <w:color w:val="000000"/>
          <w:spacing w:val="0"/>
          <w:w w:val="102"/>
          <w:position w:val="0"/>
          <w:sz w:val="18"/>
          <w:szCs w:val="24"/>
          <w:u w:val="none"/>
          <w:vertAlign w:val="baseline"/>
        </w:rPr>
        <w:t>spondents complied with the requirement that the loan servicer contacted the borrower or made the necessary efforts to do so.</w:t>
      </w:r>
    </w:p>
    <w:p>
      <w:pPr>
        <w:rPr>
          <w:rFonts w:ascii="Times New Roman" w:hAnsi="Times New Roman"/>
          <w:color w:val="000000"/>
          <w:spacing w:val="0"/>
          <w:w w:val="102"/>
          <w:position w:val="0"/>
          <w:sz w:val="18"/>
          <w:u w:val="none"/>
          <w:vertAlign w:val="baseline"/>
        </w:rPr>
        <w:sectPr>
          <w:type w:val="continuous"/>
          <w:pgSz w:w="12220" w:h="15820"/>
          <w:pgMar w:top="431" w:right="431" w:bottom="431" w:left="431" w:header="720" w:footer="720"/>
          <w:cols w:space="720"/>
        </w:sectPr>
      </w:pPr>
    </w:p>
    <w:p>
      <w:pPr>
        <w:spacing w:before="108" w:line="138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sz w:val="12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12"/>
          <w:szCs w:val="24"/>
          <w:u w:val="none"/>
          <w:vertAlign w:val="baseline"/>
        </w:rPr>
        <w:t>4</w:t>
      </w:r>
    </w:p>
    <w:p>
      <w:pPr>
        <w:spacing w:before="0" w:line="144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sz w:val="12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12"/>
          <w:szCs w:val="24"/>
          <w:u w:val="none"/>
          <w:vertAlign w:val="baseline"/>
        </w:rPr>
        <w:br w:type="column"/>
      </w:r>
    </w:p>
    <w:p>
      <w:pPr>
        <w:spacing w:before="34" w:line="144" w:lineRule="exact"/>
        <w:ind w:left="20"/>
        <w:jc w:val="left"/>
        <w:rPr>
          <w:rFonts w:ascii="Times New Roman" w:hAnsi="Times New Roman"/>
          <w:color w:val="000000"/>
          <w:spacing w:val="0"/>
          <w:w w:val="100"/>
          <w:position w:val="0"/>
          <w:sz w:val="18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>We note, however, the well-established rule that there is no remedy for violation of</w:t>
      </w:r>
      <w:r>
        <w:rPr>
          <w:rFonts w:ascii="Times New Roman" w:hAnsi="Times New Roman"/>
          <w:color w:val="0000FF"/>
          <w:spacing w:val="0"/>
          <w:w w:val="100"/>
          <w:position w:val="0"/>
          <w:sz w:val="18"/>
          <w:szCs w:val="24"/>
          <w:u w:val="single"/>
          <w:vertAlign w:val="baseline"/>
        </w:rPr>
        <w:t xml:space="preserve"> Civil Code section 2923.5</w:t>
      </w: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 xml:space="preserve">except a delay of </w:t>
      </w:r>
    </w:p>
    <w:p>
      <w:pPr>
        <w:rPr>
          <w:rFonts w:ascii="Times New Roman" w:hAnsi="Times New Roman"/>
          <w:color w:val="000000"/>
          <w:spacing w:val="0"/>
          <w:w w:val="100"/>
          <w:position w:val="0"/>
          <w:sz w:val="18"/>
          <w:u w:val="none"/>
          <w:vertAlign w:val="baseline"/>
        </w:rPr>
        <w:sectPr>
          <w:type w:val="continuous"/>
          <w:pgSz w:w="12220" w:h="15820"/>
          <w:pgMar w:top="431" w:right="431" w:bottom="431" w:left="431" w:header="720" w:footer="720"/>
          <w:cols w:num="2" w:space="720" w:equalWidth="0">
            <w:col w:w="1038" w:space="110"/>
            <w:col w:w="10068" w:space="160"/>
          </w:cols>
        </w:sectPr>
      </w:pPr>
    </w:p>
    <w:p>
      <w:pPr>
        <w:spacing w:before="0" w:line="200" w:lineRule="exact"/>
        <w:ind w:left="898" w:right="822"/>
        <w:jc w:val="both"/>
        <w:rPr>
          <w:rFonts w:ascii="Times New Roman" w:hAnsi="Times New Roman"/>
          <w:color w:val="000000"/>
          <w:spacing w:val="0"/>
          <w:w w:val="100"/>
          <w:position w:val="0"/>
          <w:sz w:val="18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>the foreclosure sale pending compliance with the statute. (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18"/>
          <w:szCs w:val="24"/>
          <w:u w:val="single"/>
          <w:vertAlign w:val="baseline"/>
        </w:rPr>
        <w:t xml:space="preserve"> Mabry, supra</w:t>
      </w:r>
      <w:r>
        <w:rPr>
          <w:rFonts w:ascii="Times New Roman" w:hAnsi="Times New Roman"/>
          <w:color w:val="0000FF"/>
          <w:spacing w:val="0"/>
          <w:w w:val="100"/>
          <w:position w:val="0"/>
          <w:sz w:val="18"/>
          <w:szCs w:val="24"/>
          <w:u w:val="single"/>
          <w:vertAlign w:val="baseline"/>
        </w:rPr>
        <w:t xml:space="preserve"> , 185 Cal.App.4th at p. 223</w:t>
      </w: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>;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18"/>
          <w:szCs w:val="24"/>
          <w:u w:val="single"/>
          <w:vertAlign w:val="baseline"/>
        </w:rPr>
        <w:t xml:space="preserve"> Stebley v. Litton Loan Servic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18"/>
          <w:szCs w:val="24"/>
          <w:u w:val="single"/>
          <w:vertAlign w:val="baseline"/>
        </w:rPr>
        <w:t>ing, LLP</w:t>
      </w:r>
      <w:r>
        <w:rPr>
          <w:rFonts w:ascii="Times New Roman" w:hAnsi="Times New Roman"/>
          <w:color w:val="0000FF"/>
          <w:spacing w:val="0"/>
          <w:w w:val="100"/>
          <w:position w:val="0"/>
          <w:sz w:val="18"/>
          <w:szCs w:val="24"/>
          <w:u w:val="single"/>
          <w:vertAlign w:val="baseline"/>
        </w:rPr>
        <w:t xml:space="preserve"> (2011) 202 Cal.App.4th 522, 525-526 [134 Cal. Rptr. 3d 604]</w:t>
      </w: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>;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18"/>
          <w:szCs w:val="24"/>
          <w:u w:val="single"/>
          <w:vertAlign w:val="baseline"/>
        </w:rPr>
        <w:t xml:space="preserve"> Argueta, supra</w:t>
      </w:r>
      <w:r>
        <w:rPr>
          <w:rFonts w:ascii="Times New Roman" w:hAnsi="Times New Roman"/>
          <w:color w:val="0000FF"/>
          <w:spacing w:val="0"/>
          <w:w w:val="100"/>
          <w:position w:val="0"/>
          <w:sz w:val="18"/>
          <w:szCs w:val="24"/>
          <w:u w:val="single"/>
          <w:vertAlign w:val="baseline"/>
        </w:rPr>
        <w:t xml:space="preserve"> , 787 F.Supp.2d at p. 1107</w:t>
      </w:r>
      <w:r>
        <w:rPr>
          <w:rFonts w:ascii="Times New Roman" w:hAnsi="Times New Roman"/>
          <w:color w:val="000000"/>
          <w:spacing w:val="0"/>
          <w:w w:val="100"/>
          <w:position w:val="0"/>
          <w:sz w:val="18"/>
          <w:szCs w:val="24"/>
          <w:u w:val="none"/>
          <w:vertAlign w:val="baseline"/>
        </w:rPr>
        <w:t xml:space="preserve">.) </w:t>
      </w:r>
    </w:p>
    <w:p>
      <w:pPr>
        <w:spacing w:before="102" w:line="216" w:lineRule="exact"/>
        <w:ind w:left="898"/>
        <w:jc w:val="left"/>
        <w:rPr>
          <w:rFonts w:ascii="Times New Roman" w:hAnsi="Times New Roman"/>
          <w:color w:val="000000"/>
          <w:spacing w:val="0"/>
          <w:w w:val="101"/>
          <w:position w:val="0"/>
          <w:sz w:val="18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18"/>
          <w:szCs w:val="24"/>
          <w:u w:val="none"/>
          <w:vertAlign w:val="superscript"/>
        </w:rPr>
        <w:t>*</w:t>
      </w:r>
      <w:r>
        <w:rPr>
          <w:rFonts w:ascii="Times New Roman" w:hAnsi="Times New Roman"/>
          <w:color w:val="000000"/>
          <w:spacing w:val="0"/>
          <w:w w:val="101"/>
          <w:position w:val="0"/>
          <w:sz w:val="18"/>
          <w:szCs w:val="24"/>
          <w:u w:val="none"/>
          <w:vertAlign w:val="baseline"/>
        </w:rPr>
        <w:t xml:space="preserve">   See footnote,</w:t>
      </w:r>
      <w:r>
        <w:rPr>
          <w:rFonts w:ascii="Times New Roman Italic" w:hAnsi="Times New Roman Italic"/>
          <w:color w:val="000000"/>
          <w:spacing w:val="0"/>
          <w:w w:val="101"/>
          <w:position w:val="0"/>
          <w:sz w:val="18"/>
          <w:szCs w:val="24"/>
          <w:u w:val="none"/>
          <w:vertAlign w:val="baseline"/>
        </w:rPr>
        <w:t>ante</w:t>
      </w:r>
      <w:r>
        <w:rPr>
          <w:rFonts w:ascii="Times New Roman" w:hAnsi="Times New Roman"/>
          <w:color w:val="000000"/>
          <w:spacing w:val="0"/>
          <w:w w:val="101"/>
          <w:position w:val="0"/>
          <w:sz w:val="18"/>
          <w:szCs w:val="24"/>
          <w:u w:val="none"/>
          <w:vertAlign w:val="baseline"/>
        </w:rPr>
        <w:t xml:space="preserve">, page___. </w:t>
      </w:r>
    </w:p>
    <w:p>
      <w:pPr>
        <w:spacing w:before="0" w:line="230" w:lineRule="exact"/>
        <w:ind w:left="5183"/>
        <w:jc w:val="left"/>
        <w:rPr>
          <w:rFonts w:ascii="Times New Roman" w:hAnsi="Times New Roman"/>
          <w:color w:val="000000"/>
          <w:spacing w:val="0"/>
          <w:w w:val="101"/>
          <w:position w:val="0"/>
          <w:sz w:val="18"/>
          <w:u w:val="none"/>
          <w:vertAlign w:val="baseline"/>
        </w:rPr>
      </w:pPr>
    </w:p>
    <w:p>
      <w:pPr>
        <w:spacing w:before="63" w:line="230" w:lineRule="exact"/>
        <w:ind w:left="5183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 xml:space="preserve">Charles Cox </w: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89" style="mso-position-horizontal-relative:page;mso-position-vertical-relative:page;position:absolute;z-index:-251593728" from="66.5pt,412.2pt" to="178.55pt,412.2pt" o:allowincell="f" strokecolor="blue" strokeweight="1pt">
            <w10:wrap anchorx="page" anchory="page"/>
          </v:line>
        </w:pic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90" style="mso-position-horizontal-relative:page;mso-position-vertical-relative:page;position:absolute;z-index:-251592704" from="204.2pt,412.2pt" to="291.3pt,412.2pt" o:allowincell="f" strokecolor="blue" strokeweight="1pt">
            <w10:wrap anchorx="page" anchory="page"/>
          </v:line>
        </w:pic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91" style="mso-position-horizontal-relative:page;mso-position-vertical-relative:page;position:absolute;z-index:-251590656" from="66.5pt,630.4pt" to="545.45pt,630.4pt" o:allowincell="f" strokecolor="black" strokeweight="1.5pt">
            <w10:wrap anchorx="page" anchory="page"/>
          </v:line>
        </w:pict>
      </w:r>
    </w:p>
    <w:p>
      <w:pPr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  <w:sectPr>
          <w:type w:val="continuous"/>
          <w:pgSz w:w="12220" w:h="15820"/>
          <w:pgMar w:top="431" w:right="431" w:bottom="431" w:left="431" w:header="720" w:footer="720"/>
          <w:cols w:space="720"/>
        </w:sectPr>
      </w:pPr>
    </w:p>
    <w:p>
      <w:pPr>
        <w:spacing w:before="178" w:line="230" w:lineRule="exact"/>
        <w:ind w:left="9339"/>
        <w:jc w:val="left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bookmarkStart w:id="11" w:name="Pg12"/>
      <w:bookmarkEnd w:id="11"/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 xml:space="preserve">Page 11 of 11 </w:t>
      </w:r>
    </w:p>
    <w:p>
      <w:pPr>
        <w:spacing w:before="10" w:line="230" w:lineRule="exact"/>
        <w:ind w:left="4410"/>
        <w:jc w:val="left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0"/>
          <w:szCs w:val="24"/>
          <w:u w:val="none"/>
          <w:vertAlign w:val="baseline"/>
        </w:rPr>
        <w:t>2013 Cal. App. LEXIS 225, *24</w:t>
      </w:r>
    </w:p>
    <w:p>
      <w:pPr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  <w:sectPr>
          <w:pgSz w:w="12220" w:h="15820"/>
          <w:pgMar w:top="431" w:right="431" w:bottom="431" w:left="431" w:header="720" w:footer="720"/>
          <w:cols w:space="720"/>
        </w:sectPr>
      </w:pPr>
    </w:p>
    <w:p>
      <w:pPr>
        <w:spacing w:before="0" w:line="259" w:lineRule="exact"/>
        <w:ind w:left="898"/>
        <w:jc w:val="both"/>
        <w:rPr>
          <w:rFonts w:ascii="Times New Roman" w:hAnsi="Times New Roman"/>
          <w:color w:val="000000"/>
          <w:spacing w:val="0"/>
          <w:w w:val="100"/>
          <w:position w:val="0"/>
          <w:sz w:val="20"/>
          <w:u w:val="none"/>
          <w:vertAlign w:val="baseline"/>
        </w:rPr>
      </w:pPr>
    </w:p>
    <w:p>
      <w:pPr>
        <w:spacing w:before="41" w:line="259" w:lineRule="exact"/>
        <w:ind w:left="898" w:right="0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derland (1865). And she urges us to do justice </w:t>
      </w: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and mercy in this case, providing numerous quo-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tations from the Bible.</w:t>
      </w:r>
    </w:p>
    <w:p>
      <w:pPr>
        <w:spacing w:before="200" w:line="259" w:lineRule="exact"/>
        <w:ind w:left="898" w:right="0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We have fully considered all of Intengan’s argu-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ments in arriving at our disposition of her ap-</w:t>
        <w:br/>
      </w:r>
      <w:r>
        <w:rPr>
          <w:rFonts w:ascii="Times New Roman" w:hAnsi="Times New Roman"/>
          <w:color w:val="000000"/>
          <w:spacing w:val="0"/>
          <w:w w:val="103"/>
          <w:position w:val="0"/>
          <w:sz w:val="24"/>
          <w:szCs w:val="24"/>
          <w:u w:val="none"/>
          <w:vertAlign w:val="baseline"/>
        </w:rPr>
        <w:t>peal. We conclude the trial court erred in sus-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taining the demurrer to the third amended</w:t>
      </w:r>
    </w:p>
    <w:p>
      <w:pPr>
        <w:spacing w:before="0" w:line="259" w:lineRule="exact"/>
        <w:ind w:left="898" w:right="64"/>
        <w:jc w:val="both"/>
        <w:rPr>
          <w:rFonts w:ascii="Times New Roman Italic" w:hAnsi="Times New Roman Italic"/>
          <w:color w:val="0000FF"/>
          <w:spacing w:val="0"/>
          <w:w w:val="100"/>
          <w:position w:val="0"/>
          <w:u w:val="singl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complaint, only in that Intengan adequately al-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leged a violation of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Civil Code section</w:t>
      </w:r>
    </w:p>
    <w:p>
      <w:pPr>
        <w:spacing w:before="1" w:line="259" w:lineRule="exact"/>
        <w:ind w:left="898" w:right="286"/>
        <w:jc w:val="left"/>
        <w:rPr>
          <w:rFonts w:ascii="Times New Roman" w:hAnsi="Times New Roman"/>
          <w:color w:val="000000"/>
          <w:spacing w:val="-2"/>
          <w:w w:val="100"/>
          <w:position w:val="0"/>
          <w:u w:val="none"/>
          <w:vertAlign w:val="baseline"/>
        </w:rPr>
      </w:pP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>2923.5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, which might be pursued under her </w:t>
        <w:br/>
      </w: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theory of wrongful foreclosure. Accordingly,</w:t>
      </w:r>
    </w:p>
    <w:p>
      <w:pPr>
        <w:spacing w:before="1" w:line="259" w:lineRule="exact"/>
        <w:ind w:left="898" w:right="0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 xml:space="preserve">the judgment of dismissal must be reversed, and 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the order sustaining the demurrer to the</w:t>
      </w:r>
    </w:p>
    <w:p>
      <w:pPr>
        <w:tabs>
          <w:tab w:val="left" w:pos="1948"/>
        </w:tabs>
        <w:spacing w:before="1" w:line="259" w:lineRule="exact"/>
        <w:ind w:left="898" w:right="0" w:firstLine="76"/>
        <w:jc w:val="both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 Bold" w:hAnsi="Times New Roman Bold"/>
          <w:color w:val="000000"/>
          <w:spacing w:val="-3"/>
          <w:w w:val="100"/>
          <w:position w:val="0"/>
          <w:sz w:val="24"/>
          <w:szCs w:val="24"/>
          <w:u w:val="none"/>
          <w:vertAlign w:val="baseline"/>
        </w:rPr>
        <w:t>[*25]</w:t>
        <w:tab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third amended complaint must be re-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versed solely as to her purported cause of ac-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tion  for  wrongful  foreclosure,  based  exclu-</w:t>
      </w:r>
    </w:p>
    <w:p>
      <w:pPr>
        <w:spacing w:before="0" w:line="259" w:lineRule="exact"/>
        <w:ind w:left="5807"/>
        <w:jc w:val="left"/>
        <w:rPr>
          <w:rFonts w:ascii="Times New Roman" w:hAnsi="Times New Roman"/>
          <w:color w:val="000000"/>
          <w:spacing w:val="0"/>
          <w:w w:val="101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br w:type="column"/>
      </w:r>
    </w:p>
    <w:p>
      <w:pPr>
        <w:spacing w:before="41" w:line="259" w:lineRule="exact"/>
        <w:ind w:left="20" w:right="639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sively on the alleged violation of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Civil Code </w:t>
        <w:br/>
      </w:r>
      <w:r>
        <w:rPr>
          <w:rFonts w:ascii="Times New Roman Italic" w:hAnsi="Times New Roman Italic"/>
          <w:color w:val="0000FF"/>
          <w:spacing w:val="-1"/>
          <w:w w:val="100"/>
          <w:position w:val="0"/>
          <w:sz w:val="24"/>
          <w:szCs w:val="24"/>
          <w:u w:val="single"/>
          <w:vertAlign w:val="baseline"/>
        </w:rPr>
        <w:t>section 2923.5</w:t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, potentially providing relief only </w:t>
        <w:br/>
      </w:r>
      <w:r>
        <w:rPr>
          <w:rFonts w:ascii="Times New Roman" w:hAnsi="Times New Roman"/>
          <w:color w:val="000000"/>
          <w:spacing w:val="0"/>
          <w:w w:val="101"/>
          <w:position w:val="0"/>
          <w:sz w:val="24"/>
          <w:szCs w:val="24"/>
          <w:u w:val="none"/>
          <w:vertAlign w:val="baseline"/>
        </w:rPr>
        <w:t>in the form of a postponement of the foreclo-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>sure sale.</w:t>
      </w:r>
    </w:p>
    <w:p>
      <w:pPr>
        <w:spacing w:before="246" w:line="276" w:lineRule="exact"/>
        <w:ind w:left="20"/>
        <w:jc w:val="left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superscript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B., C.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superscript"/>
        </w:rPr>
        <w:t>*</w:t>
      </w:r>
    </w:p>
    <w:p>
      <w:pPr>
        <w:spacing w:before="242" w:line="276" w:lineRule="exact"/>
        <w:ind w:left="20"/>
        <w:jc w:val="left"/>
        <w:rPr>
          <w:rFonts w:ascii="Times New Roman" w:hAnsi="Times New Roman"/>
          <w:color w:val="000000"/>
          <w:spacing w:val="-2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2"/>
          <w:w w:val="100"/>
          <w:position w:val="0"/>
          <w:sz w:val="24"/>
          <w:szCs w:val="24"/>
          <w:u w:val="none"/>
          <w:vertAlign w:val="baseline"/>
        </w:rPr>
        <w:t>III. DISPOSITION</w:t>
      </w:r>
    </w:p>
    <w:p>
      <w:pPr>
        <w:spacing w:before="228" w:line="259" w:lineRule="exact"/>
        <w:ind w:left="20" w:right="710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The judgment of dismissal is reversed. The or-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der sustaining the demurrer is reversed,</w:t>
      </w:r>
    </w:p>
    <w:p>
      <w:pPr>
        <w:spacing w:before="0" w:line="259" w:lineRule="exact"/>
        <w:ind w:left="20" w:right="639"/>
        <w:jc w:val="both"/>
        <w:rPr>
          <w:rFonts w:ascii="Times New Roman" w:hAnsi="Times New Roman"/>
          <w:color w:val="000000"/>
          <w:spacing w:val="0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solely as to a cause of action for wrongful fore-</w:t>
        <w:br/>
      </w: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closure based on allegations that respondents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did not comply with</w:t>
      </w:r>
      <w:r>
        <w:rPr>
          <w:rFonts w:ascii="Times New Roman Italic" w:hAnsi="Times New Roman Italic"/>
          <w:color w:val="0000FF"/>
          <w:spacing w:val="0"/>
          <w:w w:val="100"/>
          <w:position w:val="0"/>
          <w:sz w:val="24"/>
          <w:szCs w:val="24"/>
          <w:u w:val="single"/>
          <w:vertAlign w:val="baseline"/>
        </w:rPr>
        <w:t xml:space="preserve"> Civil Code section 2923.5</w:t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 xml:space="preserve">. </w:t>
        <w:br/>
      </w:r>
      <w:r>
        <w:rPr>
          <w:rFonts w:ascii="Times New Roman" w:hAnsi="Times New Roman"/>
          <w:color w:val="000000"/>
          <w:spacing w:val="0"/>
          <w:w w:val="100"/>
          <w:position w:val="0"/>
          <w:sz w:val="24"/>
          <w:szCs w:val="24"/>
          <w:u w:val="none"/>
          <w:vertAlign w:val="baseline"/>
        </w:rPr>
        <w:t>Appellant shall recover her costs on appeal.</w:t>
      </w:r>
    </w:p>
    <w:p>
      <w:pPr>
        <w:spacing w:before="216" w:line="276" w:lineRule="exact"/>
        <w:ind w:left="20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4"/>
          <w:szCs w:val="24"/>
          <w:u w:val="none"/>
          <w:vertAlign w:val="baseline"/>
        </w:rPr>
        <w:t xml:space="preserve">Jones, P. J., andBruiniers, J., concurred. </w:t>
      </w:r>
    </w:p>
    <w:p>
      <w:pPr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  <w:sectPr>
          <w:type w:val="continuous"/>
          <w:pgSz w:w="12220" w:h="15820"/>
          <w:pgMar w:top="431" w:right="431" w:bottom="431" w:left="431" w:header="720" w:footer="720"/>
          <w:cols w:num="2" w:space="720" w:equalWidth="0">
            <w:col w:w="5647" w:space="160"/>
            <w:col w:w="5409" w:space="160"/>
          </w:cols>
        </w:sectPr>
      </w:pPr>
    </w:p>
    <w:p>
      <w:pPr>
        <w:spacing w:before="0" w:line="216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16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16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16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16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16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16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16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16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16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16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16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16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16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16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16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16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16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16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16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16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16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16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16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16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16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16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16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16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16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16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16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16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16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16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16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16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16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0" w:line="216" w:lineRule="exact"/>
        <w:ind w:left="898"/>
        <w:jc w:val="left"/>
        <w:rPr>
          <w:rFonts w:ascii="Times New Roman" w:hAnsi="Times New Roman"/>
          <w:color w:val="000000"/>
          <w:spacing w:val="-1"/>
          <w:w w:val="100"/>
          <w:position w:val="0"/>
          <w:u w:val="none"/>
          <w:vertAlign w:val="baseline"/>
        </w:rPr>
      </w:pPr>
    </w:p>
    <w:p>
      <w:pPr>
        <w:spacing w:before="106" w:line="216" w:lineRule="exact"/>
        <w:ind w:left="898"/>
        <w:jc w:val="left"/>
        <w:rPr>
          <w:rFonts w:ascii="Times New Roman" w:hAnsi="Times New Roman"/>
          <w:color w:val="000000"/>
          <w:spacing w:val="0"/>
          <w:w w:val="101"/>
          <w:position w:val="0"/>
          <w:sz w:val="18"/>
          <w:u w:val="none"/>
          <w:vertAlign w:val="baseline"/>
        </w:rPr>
      </w:pPr>
      <w:r>
        <w:rPr>
          <w:rFonts w:ascii="Times New Roman" w:hAnsi="Times New Roman"/>
          <w:color w:val="000000"/>
          <w:spacing w:val="0"/>
          <w:w w:val="101"/>
          <w:position w:val="0"/>
          <w:sz w:val="18"/>
          <w:szCs w:val="24"/>
          <w:u w:val="none"/>
          <w:vertAlign w:val="superscript"/>
        </w:rPr>
        <w:t>*</w:t>
      </w:r>
      <w:r>
        <w:rPr>
          <w:rFonts w:ascii="Times New Roman" w:hAnsi="Times New Roman"/>
          <w:color w:val="000000"/>
          <w:spacing w:val="0"/>
          <w:w w:val="101"/>
          <w:position w:val="0"/>
          <w:sz w:val="18"/>
          <w:szCs w:val="24"/>
          <w:u w:val="none"/>
          <w:vertAlign w:val="baseline"/>
        </w:rPr>
        <w:t xml:space="preserve">   See footnote,</w:t>
      </w:r>
      <w:r>
        <w:rPr>
          <w:rFonts w:ascii="Times New Roman Italic" w:hAnsi="Times New Roman Italic"/>
          <w:color w:val="000000"/>
          <w:spacing w:val="0"/>
          <w:w w:val="101"/>
          <w:position w:val="0"/>
          <w:sz w:val="18"/>
          <w:szCs w:val="24"/>
          <w:u w:val="none"/>
          <w:vertAlign w:val="baseline"/>
        </w:rPr>
        <w:t>ante</w:t>
      </w:r>
      <w:r>
        <w:rPr>
          <w:rFonts w:ascii="Times New Roman" w:hAnsi="Times New Roman"/>
          <w:color w:val="000000"/>
          <w:spacing w:val="0"/>
          <w:w w:val="101"/>
          <w:position w:val="0"/>
          <w:sz w:val="18"/>
          <w:szCs w:val="24"/>
          <w:u w:val="none"/>
          <w:vertAlign w:val="baseline"/>
        </w:rPr>
        <w:t xml:space="preserve">, page___. </w:t>
      </w:r>
    </w:p>
    <w:p>
      <w:pPr>
        <w:spacing w:before="0" w:line="230" w:lineRule="exact"/>
        <w:ind w:left="5183"/>
        <w:jc w:val="left"/>
        <w:rPr>
          <w:rFonts w:ascii="Times New Roman" w:hAnsi="Times New Roman"/>
          <w:color w:val="000000"/>
          <w:spacing w:val="0"/>
          <w:w w:val="101"/>
          <w:position w:val="0"/>
          <w:sz w:val="18"/>
          <w:u w:val="none"/>
          <w:vertAlign w:val="baseline"/>
        </w:rPr>
      </w:pPr>
    </w:p>
    <w:p>
      <w:pPr>
        <w:spacing w:before="63" w:line="230" w:lineRule="exact"/>
        <w:ind w:left="5183"/>
        <w:jc w:val="left"/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t xml:space="preserve">Charles Cox </w:t>
      </w:r>
      <w:r>
        <w:rPr>
          <w:rFonts w:ascii="Times New Roman" w:hAnsi="Times New Roman"/>
          <w:color w:val="000000"/>
          <w:spacing w:val="-1"/>
          <w:w w:val="100"/>
          <w:position w:val="0"/>
          <w:sz w:val="20"/>
          <w:szCs w:val="24"/>
          <w:u w:val="none"/>
          <w:vertAlign w:val="baseline"/>
        </w:rPr>
        <w:pict>
          <v:line id="_x0000_s1092" style="mso-position-horizontal-relative:page;mso-position-vertical-relative:page;position:absolute;z-index:-251599872" from="66.5pt,701.85pt" to="545.45pt,701.85pt" o:allowincell="f" strokecolor="black" strokeweight="1.5pt">
            <w10:wrap anchorx="page" anchory="page"/>
          </v:line>
        </w:pict>
      </w:r>
    </w:p>
    <w:p>
      <w:pPr>
        <w:rPr>
          <w:rFonts w:ascii="Times New Roman" w:hAnsi="Times New Roman"/>
          <w:color w:val="000000"/>
          <w:spacing w:val="-1"/>
          <w:w w:val="100"/>
          <w:position w:val="0"/>
          <w:sz w:val="20"/>
          <w:u w:val="none"/>
          <w:vertAlign w:val="baseline"/>
        </w:rPr>
      </w:pPr>
    </w:p>
    <w:sectPr>
      <w:type w:val="continuous"/>
      <w:pgSz w:w="12220" w:h="15820"/>
      <w:pgMar w:top="431" w:right="431" w:bottom="431" w:left="431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 Bold">
    <w:charset w:val="00"/>
    <w:family w:val="auto"/>
    <w:pitch w:val="default"/>
  </w:font>
  <w:font w:name="Times New Roman">
    <w:charset w:val="00"/>
    <w:family w:val="auto"/>
    <w:pitch w:val="default"/>
  </w:font>
  <w:font w:name="Verdana">
    <w:charset w:val="00"/>
    <w:family w:val="auto"/>
    <w:pitch w:val="default"/>
  </w:font>
  <w:font w:name="Times New Roman Italic">
    <w:charset w:val="00"/>
    <w:family w:val="auto"/>
    <w:pitch w:val="default"/>
  </w:font>
  <w:font w:name="Times New Roman Bold Italic">
    <w:charset w:val="00"/>
    <w:family w:val="auto"/>
    <w:pitch w:val="default"/>
  </w:font>
  <w:font w:name="Symbol">
    <w:charset w:val="00"/>
    <w:family w:val="auto"/>
    <w:pitch w:val="default"/>
  </w:font>
  <w:font w:name="Arial">
    <w:charset w:val="00"/>
    <w:family w:val="auto"/>
    <w:pitch w:val="default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80"/>
  <w:doNotShadeFormData/>
  <w:characterSpacingControl w:val="doNotCompress"/>
  <w:compat>
    <w:spaceForUL/>
    <w:doNotLeaveBackslashAlone/>
    <w:ulTrailSpace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</w:rPr>
    </w:rPrDefault>
    <w:pPrDefault/>
  </w:docDefaults>
  <w:latentStyles w:defLockedState="0" w:defUIPriority="99" w:defSemiHidden="1" w:defUnhideWhenUsed="1" w:defQFormat="0" w:count="267"/>
  <w:style w:type="paragraph" w:default="1" w:styleId="Normal">
    <w:name w:val="Normal"/>
    <w:qFormat/>
    <w:rsid w:val="00805BCE"/>
    <w:rPr>
      <w:sz w:val="24"/>
      <w:szCs w:val="24"/>
    </w:rPr>
  </w:style>
  <w:style w:type="character" w:default="1" w:styleId="DefaultParagraphFont">
    <w:name w:val="Default Paragraph Fon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image" Target="media/image21.jpeg" /><Relationship Id="rId25" Type="http://schemas.openxmlformats.org/officeDocument/2006/relationships/image" Target="media/image22.jpeg" /><Relationship Id="rId26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