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1B30" w:rsidRDefault="00BA5DC6">
      <w:pPr>
        <w:spacing w:line="240" w:lineRule="exact"/>
        <w:rPr>
          <w:color w:val="000000"/>
          <w:spacing w:val="-2"/>
        </w:rPr>
      </w:pPr>
      <w:bookmarkStart w:id="0" w:name="_GoBack"/>
      <w:bookmarkEnd w:id="0"/>
      <w:r>
        <w:rPr>
          <w:color w:val="000000"/>
          <w:spacing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7" type="#_x0000_t75" style="position:absolute;margin-left:330pt;margin-top:537pt;width:126pt;height:7pt;z-index:-251581440;mso-position-horizontal-relative:page;mso-position-vertical-relative:page" o:allowincell="f">
            <v:imagedata r:id="rId5" o:title=""/>
            <w10:wrap anchorx="page" anchory="page"/>
          </v:shape>
        </w:pict>
      </w:r>
      <w:r>
        <w:rPr>
          <w:color w:val="000000"/>
          <w:spacing w:val="-2"/>
        </w:rPr>
        <w:pict>
          <v:shape id="_x0000_s1048" type="#_x0000_t75" style="position:absolute;margin-left:308pt;margin-top:472pt;width:176pt;height:7pt;z-index:-251583488;mso-position-horizontal-relative:page;mso-position-vertical-relative:page" o:allowincell="f">
            <v:imagedata r:id="rId6" o:title=""/>
            <w10:wrap anchorx="page" anchory="page"/>
          </v:shape>
        </w:pict>
      </w:r>
      <w:r>
        <w:rPr>
          <w:color w:val="000000"/>
          <w:spacing w:val="-2"/>
        </w:rPr>
        <w:pict>
          <v:shape id="_x0000_s1049" type="#_x0000_t75" style="position:absolute;margin-left:386pt;margin-top:459pt;width:159pt;height:7pt;z-index:-251584512;mso-position-horizontal-relative:page;mso-position-vertical-relative:page" o:allowincell="f">
            <v:imagedata r:id="rId7" o:title=""/>
            <w10:wrap anchorx="page" anchory="page"/>
          </v:shape>
        </w:pict>
      </w:r>
      <w:r>
        <w:rPr>
          <w:color w:val="000000"/>
          <w:spacing w:val="-2"/>
        </w:rPr>
        <w:pict>
          <v:shape id="_x0000_s1050" type="#_x0000_t75" style="position:absolute;margin-left:51pt;margin-top:666pt;width:264pt;height:30pt;z-index:-251590656;mso-position-horizontal-relative:page;mso-position-vertical-relative:page" o:allowincell="f">
            <v:imagedata r:id="rId8" o:title=""/>
            <w10:wrap anchorx="page" anchory="page"/>
          </v:shape>
        </w:pict>
      </w:r>
      <w:r>
        <w:rPr>
          <w:color w:val="000000"/>
          <w:spacing w:val="-2"/>
        </w:rPr>
        <w:pict>
          <v:shape id="_x0000_s1051" type="#_x0000_t75" style="position:absolute;margin-left:51pt;margin-top:552pt;width:264pt;height:30pt;z-index:-251595776;mso-position-horizontal-relative:page;mso-position-vertical-relative:page" o:allowincell="f">
            <v:imagedata r:id="rId8" o:title=""/>
            <w10:wrap anchorx="page" anchory="page"/>
          </v:shape>
        </w:pict>
      </w:r>
      <w:r>
        <w:rPr>
          <w:color w:val="000000"/>
          <w:spacing w:val="-2"/>
        </w:rPr>
        <w:pict>
          <v:shape id="_x0000_s1052" type="#_x0000_t75" style="position:absolute;margin-left:63pt;margin-top:498pt;width:209pt;height:7pt;z-index:-251596800;mso-position-horizontal-relative:page;mso-position-vertical-relative:page" o:allowincell="f">
            <v:imagedata r:id="rId9" o:title=""/>
            <w10:wrap anchorx="page" anchory="page"/>
          </v:shape>
        </w:pict>
      </w:r>
      <w:r>
        <w:rPr>
          <w:color w:val="000000"/>
          <w:spacing w:val="-2"/>
        </w:rPr>
        <w:pict>
          <v:shape id="_x0000_s1053" type="#_x0000_t75" style="position:absolute;margin-left:63pt;margin-top:485pt;width:237pt;height:7pt;z-index:-251597824;mso-position-horizontal-relative:page;mso-position-vertical-relative:page" o:allowincell="f">
            <v:imagedata r:id="rId10" o:title=""/>
            <w10:wrap anchorx="page" anchory="page"/>
          </v:shape>
        </w:pict>
      </w:r>
      <w:r>
        <w:rPr>
          <w:color w:val="000000"/>
          <w:spacing w:val="-2"/>
        </w:rPr>
        <w:pict>
          <v:shape id="_x0000_s1054" type="#_x0000_t75" style="position:absolute;margin-left:63pt;margin-top:472pt;width:215pt;height:7pt;z-index:-251598848;mso-position-horizontal-relative:page;mso-position-vertical-relative:page" o:allowincell="f">
            <v:imagedata r:id="rId11" o:title=""/>
            <w10:wrap anchorx="page" anchory="page"/>
          </v:shape>
        </w:pict>
      </w:r>
      <w:r>
        <w:rPr>
          <w:color w:val="000000"/>
          <w:spacing w:val="-2"/>
        </w:rPr>
        <w:pict>
          <v:shape id="_x0000_s1055" type="#_x0000_t75" style="position:absolute;margin-left:63pt;margin-top:459pt;width:208pt;height:7pt;z-index:-251600896;mso-position-horizontal-relative:page;mso-position-vertical-relative:page" o:allowincell="f">
            <v:imagedata r:id="rId12" o:title=""/>
            <w10:wrap anchorx="page" anchory="page"/>
          </v:shape>
        </w:pict>
      </w:r>
      <w:r>
        <w:rPr>
          <w:color w:val="000000"/>
          <w:spacing w:val="-2"/>
        </w:rPr>
        <w:pict>
          <v:shape id="_x0000_s1056" type="#_x0000_t75" style="position:absolute;margin-left:66pt;margin-top:75pt;width:13pt;height:13pt;z-index:-251612160;mso-position-horizontal-relative:page;mso-position-vertical-relative:page" o:allowincell="f">
            <v:imagedata r:id="rId13" o:title=""/>
            <w10:wrap anchorx="page" anchory="page"/>
          </v:shape>
        </w:pict>
      </w:r>
      <w:r>
        <w:rPr>
          <w:color w:val="000000"/>
          <w:spacing w:val="-2"/>
        </w:rPr>
        <w:pict>
          <v:shape id="_x0000_s1057" type="#_x0000_t75" style="position:absolute;margin-left:66pt;margin-top:50pt;width:92pt;height:20pt;z-index:-251657216;mso-position-horizontal-relative:page;mso-position-vertical-relative:page" o:allowincell="f">
            <v:imagedata r:id="rId14" o:title=""/>
            <w10:wrap anchorx="page" anchory="page"/>
          </v:shape>
        </w:pict>
      </w:r>
      <w:r>
        <w:rPr>
          <w:color w:val="000000"/>
          <w:spacing w:val="-2"/>
        </w:rPr>
        <w:pict>
          <v:shape id="_x0000_s1058" type="#_x0000_t75" style="position:absolute;margin-left:66.5pt;margin-top:50.75pt;width:91.35pt;height:.95pt;z-index:-251656192;mso-position-horizontal-relative:page;mso-position-vertical-relative:page" o:allowincell="f">
            <v:imagedata r:id="rId15" o:title=""/>
            <w10:wrap anchorx="page" anchory="page"/>
          </v:shape>
        </w:pict>
      </w:r>
      <w:r>
        <w:rPr>
          <w:color w:val="000000"/>
          <w:spacing w:val="-2"/>
        </w:rPr>
        <w:pict>
          <v:shape id="_x0000_s1059" type="#_x0000_t75" style="position:absolute;margin-left:66.5pt;margin-top:51.7pt;width:91.35pt;height:.95pt;z-index:-251654144;mso-position-horizontal-relative:page;mso-position-vertical-relative:page" o:allowincell="f">
            <v:imagedata r:id="rId16" o:title=""/>
            <w10:wrap anchorx="page" anchory="page"/>
          </v:shape>
        </w:pict>
      </w:r>
      <w:r>
        <w:rPr>
          <w:color w:val="000000"/>
          <w:spacing w:val="-2"/>
        </w:rPr>
        <w:pict>
          <v:shape id="_x0000_s1060" type="#_x0000_t75" style="position:absolute;margin-left:66.5pt;margin-top:52.65pt;width:91.35pt;height:.95pt;z-index:-251652096;mso-position-horizontal-relative:page;mso-position-vertical-relative:page" o:allowincell="f">
            <v:imagedata r:id="rId17" o:title=""/>
            <w10:wrap anchorx="page" anchory="page"/>
          </v:shape>
        </w:pict>
      </w:r>
      <w:r>
        <w:rPr>
          <w:color w:val="000000"/>
          <w:spacing w:val="-2"/>
        </w:rPr>
        <w:pict>
          <v:shape id="_x0000_s1061" type="#_x0000_t75" style="position:absolute;margin-left:66.5pt;margin-top:53.6pt;width:91.35pt;height:.95pt;z-index:-251650048;mso-position-horizontal-relative:page;mso-position-vertical-relative:page" o:allowincell="f">
            <v:imagedata r:id="rId18" o:title=""/>
            <w10:wrap anchorx="page" anchory="page"/>
          </v:shape>
        </w:pict>
      </w:r>
      <w:r>
        <w:rPr>
          <w:color w:val="000000"/>
          <w:spacing w:val="-2"/>
        </w:rPr>
        <w:pict>
          <v:shape id="_x0000_s1062" type="#_x0000_t75" style="position:absolute;margin-left:66.5pt;margin-top:54.6pt;width:91.35pt;height:.95pt;z-index:-251648000;mso-position-horizontal-relative:page;mso-position-vertical-relative:page" o:allowincell="f">
            <v:imagedata r:id="rId19" o:title=""/>
            <w10:wrap anchorx="page" anchory="page"/>
          </v:shape>
        </w:pict>
      </w:r>
      <w:r>
        <w:rPr>
          <w:color w:val="000000"/>
          <w:spacing w:val="-2"/>
        </w:rPr>
        <w:pict>
          <v:shape id="_x0000_s1063" type="#_x0000_t75" style="position:absolute;margin-left:66.5pt;margin-top:55.55pt;width:91.35pt;height:.95pt;z-index:-251644928;mso-position-horizontal-relative:page;mso-position-vertical-relative:page" o:allowincell="f">
            <v:imagedata r:id="rId20" o:title=""/>
            <w10:wrap anchorx="page" anchory="page"/>
          </v:shape>
        </w:pict>
      </w:r>
      <w:r>
        <w:rPr>
          <w:color w:val="000000"/>
          <w:spacing w:val="-2"/>
        </w:rPr>
        <w:pict>
          <v:shape id="_x0000_s1064" type="#_x0000_t75" style="position:absolute;margin-left:66.5pt;margin-top:56.5pt;width:91.35pt;height:.95pt;z-index:-251641856;mso-position-horizontal-relative:page;mso-position-vertical-relative:page" o:allowincell="f">
            <v:imagedata r:id="rId21" o:title=""/>
            <w10:wrap anchorx="page" anchory="page"/>
          </v:shape>
        </w:pict>
      </w:r>
      <w:r>
        <w:rPr>
          <w:color w:val="000000"/>
          <w:spacing w:val="-2"/>
        </w:rPr>
        <w:pict>
          <v:shape id="_x0000_s1065" type="#_x0000_t75" style="position:absolute;margin-left:66.5pt;margin-top:57.45pt;width:91.35pt;height:.95pt;z-index:-251638784;mso-position-horizontal-relative:page;mso-position-vertical-relative:page" o:allowincell="f">
            <v:imagedata r:id="rId22" o:title=""/>
            <w10:wrap anchorx="page" anchory="page"/>
          </v:shape>
        </w:pict>
      </w:r>
      <w:r>
        <w:rPr>
          <w:color w:val="000000"/>
          <w:spacing w:val="-2"/>
        </w:rPr>
        <w:pict>
          <v:shape id="_x0000_s1066" type="#_x0000_t75" style="position:absolute;margin-left:66.5pt;margin-top:58.4pt;width:91.35pt;height:.95pt;z-index:-251635712;mso-position-horizontal-relative:page;mso-position-vertical-relative:page" o:allowincell="f">
            <v:imagedata r:id="rId23" o:title=""/>
            <w10:wrap anchorx="page" anchory="page"/>
          </v:shape>
        </w:pict>
      </w:r>
      <w:r>
        <w:rPr>
          <w:color w:val="000000"/>
          <w:spacing w:val="-2"/>
        </w:rPr>
        <w:pict>
          <v:shape id="_x0000_s1067" type="#_x0000_t75" style="position:absolute;margin-left:66.5pt;margin-top:59.4pt;width:91.35pt;height:.95pt;z-index:-251633664;mso-position-horizontal-relative:page;mso-position-vertical-relative:page" o:allowincell="f">
            <v:imagedata r:id="rId24" o:title=""/>
            <w10:wrap anchorx="page" anchory="page"/>
          </v:shape>
        </w:pict>
      </w:r>
      <w:r>
        <w:rPr>
          <w:color w:val="000000"/>
          <w:spacing w:val="-2"/>
        </w:rPr>
        <w:pict>
          <v:shape id="_x0000_s1068" type="#_x0000_t75" style="position:absolute;margin-left:66.5pt;margin-top:60.35pt;width:91.35pt;height:.95pt;z-index:-251631616;mso-position-horizontal-relative:page;mso-position-vertical-relative:page" o:allowincell="f">
            <v:imagedata r:id="rId25" o:title=""/>
            <w10:wrap anchorx="page" anchory="page"/>
          </v:shape>
        </w:pict>
      </w:r>
      <w:r>
        <w:rPr>
          <w:color w:val="000000"/>
          <w:spacing w:val="-2"/>
        </w:rPr>
        <w:pict>
          <v:shape id="_x0000_s1069" type="#_x0000_t75" style="position:absolute;margin-left:66.5pt;margin-top:61.3pt;width:91.35pt;height:.95pt;z-index:-251629568;mso-position-horizontal-relative:page;mso-position-vertical-relative:page" o:allowincell="f">
            <v:imagedata r:id="rId26" o:title=""/>
            <w10:wrap anchorx="page" anchory="page"/>
          </v:shape>
        </w:pict>
      </w:r>
      <w:r>
        <w:rPr>
          <w:color w:val="000000"/>
          <w:spacing w:val="-2"/>
        </w:rPr>
        <w:pict>
          <v:shape id="_x0000_s1070" type="#_x0000_t75" style="position:absolute;margin-left:66.5pt;margin-top:62.25pt;width:91.35pt;height:.95pt;z-index:-251627520;mso-position-horizontal-relative:page;mso-position-vertical-relative:page" o:allowincell="f">
            <v:imagedata r:id="rId27" o:title=""/>
            <w10:wrap anchorx="page" anchory="page"/>
          </v:shape>
        </w:pict>
      </w:r>
      <w:r>
        <w:rPr>
          <w:color w:val="000000"/>
          <w:spacing w:val="-2"/>
        </w:rPr>
        <w:pict>
          <v:shape id="_x0000_s1071" type="#_x0000_t75" style="position:absolute;margin-left:66.5pt;margin-top:63.2pt;width:91.35pt;height:.95pt;z-index:-251625472;mso-position-horizontal-relative:page;mso-position-vertical-relative:page" o:allowincell="f">
            <v:imagedata r:id="rId28" o:title=""/>
            <w10:wrap anchorx="page" anchory="page"/>
          </v:shape>
        </w:pict>
      </w:r>
      <w:r>
        <w:rPr>
          <w:color w:val="000000"/>
          <w:spacing w:val="-2"/>
        </w:rPr>
        <w:pict>
          <v:shape id="_x0000_s1072" type="#_x0000_t75" style="position:absolute;margin-left:66.5pt;margin-top:64.2pt;width:91.35pt;height:.95pt;z-index:-251623424;mso-position-horizontal-relative:page;mso-position-vertical-relative:page" o:allowincell="f">
            <v:imagedata r:id="rId29" o:title=""/>
            <w10:wrap anchorx="page" anchory="page"/>
          </v:shape>
        </w:pict>
      </w:r>
      <w:r>
        <w:rPr>
          <w:color w:val="000000"/>
          <w:spacing w:val="-2"/>
        </w:rPr>
        <w:pict>
          <v:shape id="_x0000_s1073" type="#_x0000_t75" style="position:absolute;margin-left:66.5pt;margin-top:65.15pt;width:91.35pt;height:.95pt;z-index:-251621376;mso-position-horizontal-relative:page;mso-position-vertical-relative:page" o:allowincell="f">
            <v:imagedata r:id="rId30" o:title=""/>
            <w10:wrap anchorx="page" anchory="page"/>
          </v:shape>
        </w:pict>
      </w:r>
      <w:r>
        <w:rPr>
          <w:color w:val="000000"/>
          <w:spacing w:val="-2"/>
        </w:rPr>
        <w:pict>
          <v:shape id="_x0000_s1074" type="#_x0000_t75" style="position:absolute;margin-left:66.5pt;margin-top:66.1pt;width:91.35pt;height:.95pt;z-index:-251619328;mso-position-horizontal-relative:page;mso-position-vertical-relative:page" o:allowincell="f">
            <v:imagedata r:id="rId31" o:title=""/>
            <w10:wrap anchorx="page" anchory="page"/>
          </v:shape>
        </w:pict>
      </w:r>
      <w:r>
        <w:rPr>
          <w:color w:val="000000"/>
          <w:spacing w:val="-2"/>
        </w:rPr>
        <w:pict>
          <v:shape id="_x0000_s1075" type="#_x0000_t75" style="position:absolute;margin-left:66.5pt;margin-top:67.05pt;width:91.35pt;height:.95pt;z-index:-251617280;mso-position-horizontal-relative:page;mso-position-vertical-relative:page" o:allowincell="f">
            <v:imagedata r:id="rId32" o:title=""/>
            <w10:wrap anchorx="page" anchory="page"/>
          </v:shape>
        </w:pict>
      </w:r>
      <w:r>
        <w:rPr>
          <w:color w:val="000000"/>
          <w:spacing w:val="-2"/>
        </w:rPr>
        <w:pict>
          <v:shape id="_x0000_s1076" type="#_x0000_t75" style="position:absolute;margin-left:66.5pt;margin-top:68pt;width:91.35pt;height:.95pt;z-index:-251615232;mso-position-horizontal-relative:page;mso-position-vertical-relative:page" o:allowincell="f">
            <v:imagedata r:id="rId33" o:title=""/>
            <w10:wrap anchorx="page" anchory="page"/>
          </v:shape>
        </w:pict>
      </w:r>
      <w:r>
        <w:rPr>
          <w:color w:val="000000"/>
          <w:spacing w:val="-2"/>
        </w:rPr>
        <w:pict>
          <v:shape id="_x0000_s1077" type="#_x0000_t75" style="position:absolute;margin-left:66.5pt;margin-top:69pt;width:91.35pt;height:.75pt;z-index:-251613184;mso-position-horizontal-relative:page;mso-position-vertical-relative:page" o:allowincell="f">
            <v:imagedata r:id="rId34" o:title=""/>
            <w10:wrap anchorx="page" anchory="page"/>
          </v:shape>
        </w:pict>
      </w:r>
      <w:r>
        <w:rPr>
          <w:color w:val="000000"/>
          <w:spacing w:val="-2"/>
        </w:rPr>
        <w:pict>
          <v:shape id="_x0000_s1078" type="#_x0000_t75" style="position:absolute;margin-left:66.5pt;margin-top:75.65pt;width:12pt;height:12pt;z-index:-251611136;mso-position-horizontal-relative:page;mso-position-vertical-relative:page" o:allowincell="f">
            <v:imagedata r:id="rId35" o:title=""/>
            <w10:wrap anchorx="page" anchory="page"/>
          </v:shape>
        </w:pict>
      </w:r>
      <w:bookmarkStart w:id="1" w:name="Pg2"/>
      <w:bookmarkEnd w:id="1"/>
    </w:p>
    <w:p w:rsidR="00491B30" w:rsidRDefault="00491B30">
      <w:pPr>
        <w:spacing w:line="276" w:lineRule="exact"/>
        <w:ind w:left="898"/>
        <w:rPr>
          <w:color w:val="000000"/>
          <w:spacing w:val="-2"/>
        </w:rPr>
      </w:pPr>
    </w:p>
    <w:p w:rsidR="00491B30" w:rsidRDefault="00491B30">
      <w:pPr>
        <w:spacing w:line="276" w:lineRule="exact"/>
        <w:ind w:left="898"/>
        <w:rPr>
          <w:color w:val="000000"/>
          <w:spacing w:val="-2"/>
        </w:rPr>
      </w:pPr>
    </w:p>
    <w:p w:rsidR="00491B30" w:rsidRDefault="00491B30">
      <w:pPr>
        <w:spacing w:line="276" w:lineRule="exact"/>
        <w:ind w:left="898"/>
        <w:rPr>
          <w:color w:val="000000"/>
          <w:spacing w:val="-2"/>
        </w:rPr>
      </w:pPr>
    </w:p>
    <w:p w:rsidR="00491B30" w:rsidRDefault="00491B30">
      <w:pPr>
        <w:spacing w:line="276" w:lineRule="exact"/>
        <w:ind w:left="898"/>
        <w:rPr>
          <w:color w:val="000000"/>
          <w:spacing w:val="-2"/>
        </w:rPr>
      </w:pPr>
    </w:p>
    <w:p w:rsidR="00491B30" w:rsidRDefault="00BA5DC6">
      <w:pPr>
        <w:spacing w:before="15" w:line="276" w:lineRule="exact"/>
        <w:ind w:left="898"/>
        <w:rPr>
          <w:color w:val="000000"/>
          <w:spacing w:val="-3"/>
        </w:rPr>
      </w:pPr>
      <w:r>
        <w:rPr>
          <w:color w:val="000000"/>
          <w:spacing w:val="-3"/>
        </w:rPr>
        <w:t xml:space="preserve">Neutral </w:t>
      </w:r>
    </w:p>
    <w:p w:rsidR="00491B30" w:rsidRDefault="00BA5DC6">
      <w:pPr>
        <w:spacing w:before="1" w:line="232" w:lineRule="exact"/>
        <w:ind w:left="898"/>
        <w:rPr>
          <w:color w:val="000000"/>
        </w:rPr>
      </w:pPr>
      <w:r>
        <w:rPr>
          <w:color w:val="000000"/>
        </w:rPr>
        <w:t xml:space="preserve">As of: February 25, 2013 7:48 AM EST </w:t>
      </w:r>
    </w:p>
    <w:p w:rsidR="00491B30" w:rsidRDefault="00491B30">
      <w:pPr>
        <w:spacing w:line="299" w:lineRule="exact"/>
        <w:ind w:left="1545"/>
        <w:rPr>
          <w:color w:val="000000"/>
        </w:rPr>
      </w:pPr>
    </w:p>
    <w:p w:rsidR="00491B30" w:rsidRDefault="00BA5DC6">
      <w:pPr>
        <w:spacing w:before="274" w:line="299" w:lineRule="exact"/>
        <w:ind w:left="1545"/>
        <w:rPr>
          <w:rFonts w:ascii="Times New Roman Bold" w:hAnsi="Times New Roman Bold"/>
          <w:color w:val="000000"/>
          <w:sz w:val="26"/>
        </w:rPr>
      </w:pPr>
      <w:r>
        <w:rPr>
          <w:rFonts w:ascii="Times New Roman Bold" w:hAnsi="Times New Roman Bold"/>
          <w:color w:val="000000"/>
          <w:sz w:val="26"/>
        </w:rPr>
        <w:t xml:space="preserve">Riverisland Cold Storage, Inc. v. Fresno-Madera Production Credit Assn. </w:t>
      </w:r>
    </w:p>
    <w:p w:rsidR="00491B30" w:rsidRDefault="00BA5DC6">
      <w:pPr>
        <w:spacing w:before="160" w:line="276" w:lineRule="exact"/>
        <w:ind w:left="4284"/>
        <w:rPr>
          <w:color w:val="000000"/>
          <w:spacing w:val="-1"/>
        </w:rPr>
      </w:pPr>
      <w:r>
        <w:rPr>
          <w:color w:val="000000"/>
          <w:spacing w:val="-1"/>
        </w:rPr>
        <w:t xml:space="preserve">Supreme Court of California </w:t>
      </w:r>
    </w:p>
    <w:p w:rsidR="00491B30" w:rsidRDefault="00BA5DC6">
      <w:pPr>
        <w:tabs>
          <w:tab w:val="left" w:pos="5262"/>
        </w:tabs>
        <w:spacing w:before="1" w:line="280" w:lineRule="exact"/>
        <w:ind w:left="4530" w:right="4320"/>
        <w:rPr>
          <w:color w:val="000000"/>
          <w:spacing w:val="-3"/>
        </w:rPr>
      </w:pPr>
      <w:r>
        <w:rPr>
          <w:color w:val="000000"/>
        </w:rPr>
        <w:t xml:space="preserve">January 14, 2013, Filed </w:t>
      </w:r>
      <w:r>
        <w:rPr>
          <w:color w:val="000000"/>
        </w:rPr>
        <w:br/>
      </w:r>
      <w:r>
        <w:rPr>
          <w:color w:val="000000"/>
        </w:rPr>
        <w:tab/>
      </w:r>
      <w:r>
        <w:rPr>
          <w:color w:val="000000"/>
          <w:spacing w:val="-3"/>
        </w:rPr>
        <w:t xml:space="preserve">S190581 </w:t>
      </w:r>
    </w:p>
    <w:p w:rsidR="00491B30" w:rsidRDefault="00491B30">
      <w:pPr>
        <w:spacing w:line="276" w:lineRule="exact"/>
        <w:ind w:left="898"/>
        <w:rPr>
          <w:color w:val="000000"/>
          <w:spacing w:val="-3"/>
        </w:rPr>
      </w:pPr>
    </w:p>
    <w:p w:rsidR="00491B30" w:rsidRDefault="00BA5DC6">
      <w:pPr>
        <w:spacing w:before="8" w:line="276" w:lineRule="exact"/>
        <w:ind w:left="898"/>
        <w:rPr>
          <w:color w:val="000000"/>
        </w:rPr>
      </w:pPr>
      <w:r>
        <w:rPr>
          <w:rFonts w:ascii="Times New Roman Bold" w:hAnsi="Times New Roman Bold"/>
          <w:color w:val="000000"/>
        </w:rPr>
        <w:t>Reporter:</w:t>
      </w:r>
      <w:r>
        <w:rPr>
          <w:color w:val="000000"/>
        </w:rPr>
        <w:t xml:space="preserve"> 55 Cal. 4th 1169; 2013 Cal. LEXIS 253 </w:t>
      </w:r>
    </w:p>
    <w:p w:rsidR="00491B30" w:rsidRDefault="00BA5DC6">
      <w:pPr>
        <w:spacing w:before="124" w:line="276" w:lineRule="exact"/>
        <w:ind w:left="5807"/>
        <w:rPr>
          <w:color w:val="000000"/>
          <w:spacing w:val="-1"/>
        </w:rPr>
      </w:pPr>
      <w:r>
        <w:rPr>
          <w:color w:val="000000"/>
          <w:spacing w:val="-1"/>
        </w:rPr>
        <w:t xml:space="preserve">Plaintiff borrowers sued defendant lender, </w:t>
      </w:r>
    </w:p>
    <w:p w:rsidR="00491B30" w:rsidRDefault="00BA5DC6">
      <w:pPr>
        <w:spacing w:before="1" w:line="256" w:lineRule="exact"/>
        <w:ind w:left="5807"/>
        <w:rPr>
          <w:color w:val="000000"/>
          <w:spacing w:val="-3"/>
        </w:rPr>
      </w:pPr>
      <w:r>
        <w:rPr>
          <w:color w:val="000000"/>
          <w:spacing w:val="-3"/>
        </w:rPr>
        <w:t>seeking damages for fraud</w:t>
      </w:r>
      <w:r>
        <w:rPr>
          <w:color w:val="000000"/>
          <w:spacing w:val="-3"/>
        </w:rPr>
        <w:t xml:space="preserve"> and negligent misrep-</w:t>
      </w:r>
    </w:p>
    <w:p w:rsidR="00491B30" w:rsidRDefault="00491B30">
      <w:pPr>
        <w:rPr>
          <w:color w:val="000000"/>
          <w:spacing w:val="-3"/>
        </w:rPr>
        <w:sectPr w:rsidR="00491B30">
          <w:pgSz w:w="12220" w:h="15820"/>
          <w:pgMar w:top="431" w:right="431" w:bottom="431" w:left="431" w:header="720" w:footer="720" w:gutter="0"/>
          <w:cols w:space="720"/>
        </w:sectPr>
      </w:pPr>
    </w:p>
    <w:p w:rsidR="00491B30" w:rsidRDefault="00BA5DC6">
      <w:pPr>
        <w:spacing w:before="2" w:line="259" w:lineRule="exact"/>
        <w:ind w:left="898"/>
        <w:jc w:val="both"/>
        <w:rPr>
          <w:color w:val="000000"/>
          <w:spacing w:val="-1"/>
        </w:rPr>
      </w:pPr>
      <w:r>
        <w:rPr>
          <w:color w:val="000000"/>
          <w:spacing w:val="-4"/>
        </w:rPr>
        <w:lastRenderedPageBreak/>
        <w:t xml:space="preserve">RIVERISLAND COLD STORAGE, INC., et al., </w:t>
      </w:r>
      <w:r>
        <w:rPr>
          <w:color w:val="000000"/>
        </w:rPr>
        <w:t>Plaintiffs  and Appellants,  v.  FRESNO-MAD-</w:t>
      </w:r>
      <w:r>
        <w:rPr>
          <w:color w:val="000000"/>
        </w:rPr>
        <w:br/>
      </w:r>
      <w:r>
        <w:rPr>
          <w:color w:val="000000"/>
          <w:spacing w:val="-4"/>
        </w:rPr>
        <w:t xml:space="preserve">ERA PRODUCTION CREDIT ASSOCIATION, </w:t>
      </w:r>
      <w:r>
        <w:rPr>
          <w:color w:val="000000"/>
          <w:spacing w:val="-1"/>
        </w:rPr>
        <w:t>Defendant and Respondent.</w:t>
      </w:r>
    </w:p>
    <w:p w:rsidR="00491B30" w:rsidRDefault="00491B30">
      <w:pPr>
        <w:spacing w:line="259" w:lineRule="exact"/>
        <w:ind w:left="898"/>
        <w:jc w:val="both"/>
        <w:rPr>
          <w:color w:val="000000"/>
          <w:spacing w:val="-1"/>
        </w:rPr>
      </w:pPr>
    </w:p>
    <w:p w:rsidR="00491B30" w:rsidRDefault="00BA5DC6">
      <w:pPr>
        <w:spacing w:before="1" w:line="259" w:lineRule="exact"/>
        <w:ind w:left="898"/>
        <w:jc w:val="both"/>
        <w:rPr>
          <w:color w:val="000000"/>
        </w:rPr>
      </w:pPr>
      <w:r>
        <w:rPr>
          <w:rFonts w:ascii="Times New Roman Bold" w:hAnsi="Times New Roman Bold"/>
          <w:color w:val="000000"/>
          <w:w w:val="102"/>
        </w:rPr>
        <w:t>Subsequent History:</w:t>
      </w:r>
      <w:r>
        <w:rPr>
          <w:color w:val="000000"/>
          <w:w w:val="102"/>
        </w:rPr>
        <w:t xml:space="preserve"> Reported at RiverIsland </w:t>
      </w:r>
      <w:r>
        <w:rPr>
          <w:color w:val="000000"/>
          <w:spacing w:val="-3"/>
        </w:rPr>
        <w:t xml:space="preserve">Cold Storage, Inc. v. Fresno-MAdera Production </w:t>
      </w:r>
      <w:r>
        <w:rPr>
          <w:color w:val="000000"/>
          <w:spacing w:val="-1"/>
        </w:rPr>
        <w:t xml:space="preserve">Credit Association, 2013 Cal. LEXIS 955 (Cal., </w:t>
      </w:r>
      <w:r>
        <w:rPr>
          <w:color w:val="000000"/>
        </w:rPr>
        <w:t>Jan. 14, 2013)</w:t>
      </w:r>
    </w:p>
    <w:p w:rsidR="00491B30" w:rsidRDefault="00491B30">
      <w:pPr>
        <w:spacing w:line="259" w:lineRule="exact"/>
        <w:ind w:left="898"/>
        <w:rPr>
          <w:color w:val="000000"/>
        </w:rPr>
      </w:pPr>
    </w:p>
    <w:p w:rsidR="00491B30" w:rsidRDefault="00BA5DC6">
      <w:pPr>
        <w:spacing w:before="1" w:line="259" w:lineRule="exact"/>
        <w:ind w:left="898" w:right="32"/>
        <w:rPr>
          <w:color w:val="000000"/>
          <w:spacing w:val="-1"/>
        </w:rPr>
      </w:pPr>
      <w:r>
        <w:rPr>
          <w:rFonts w:ascii="Times New Roman Bold" w:hAnsi="Times New Roman Bold"/>
          <w:color w:val="000000"/>
          <w:spacing w:val="-2"/>
        </w:rPr>
        <w:t xml:space="preserve">Prior History:  </w:t>
      </w:r>
      <w:r>
        <w:rPr>
          <w:rFonts w:ascii="Times New Roman Bold" w:hAnsi="Times New Roman Bold"/>
          <w:color w:val="000000"/>
        </w:rPr>
        <w:t>[**1]</w:t>
      </w:r>
      <w:r>
        <w:rPr>
          <w:color w:val="000000"/>
        </w:rPr>
        <w:t xml:space="preserve"> Superior Court of </w:t>
      </w:r>
      <w:r>
        <w:rPr>
          <w:color w:val="000000"/>
        </w:rPr>
        <w:br/>
      </w:r>
      <w:r>
        <w:rPr>
          <w:color w:val="000000"/>
          <w:spacing w:val="-1"/>
        </w:rPr>
        <w:t>Fresno County, No. 08CECG01416, Adolfo M. Corona, Judge. Court of Appeal, Fifth Appel-</w:t>
      </w:r>
      <w:r>
        <w:rPr>
          <w:color w:val="000000"/>
          <w:spacing w:val="-1"/>
        </w:rPr>
        <w:br/>
        <w:t>late Dictrict, No.</w:t>
      </w:r>
      <w:r>
        <w:rPr>
          <w:color w:val="000000"/>
          <w:spacing w:val="-1"/>
        </w:rPr>
        <w:t xml:space="preserve"> F058434.</w:t>
      </w:r>
    </w:p>
    <w:p w:rsidR="00491B30" w:rsidRDefault="00BA5DC6">
      <w:pPr>
        <w:spacing w:before="1" w:line="259" w:lineRule="exact"/>
        <w:ind w:left="898" w:right="498"/>
        <w:jc w:val="both"/>
        <w:rPr>
          <w:rFonts w:ascii="Times New Roman Italic" w:hAnsi="Times New Roman Italic"/>
          <w:color w:val="0000FF"/>
          <w:spacing w:val="-1"/>
          <w:u w:val="single"/>
        </w:rPr>
      </w:pPr>
      <w:r>
        <w:rPr>
          <w:rFonts w:ascii="Times New Roman Italic" w:hAnsi="Times New Roman Italic"/>
          <w:color w:val="0000FF"/>
          <w:spacing w:val="-1"/>
          <w:u w:val="single"/>
        </w:rPr>
        <w:t xml:space="preserve"> Riverisland Cold Storage, Inc. v. Fresno-</w:t>
      </w:r>
      <w:r>
        <w:rPr>
          <w:rFonts w:ascii="Times New Roman Italic" w:hAnsi="Times New Roman Italic"/>
          <w:color w:val="0000FF"/>
          <w:spacing w:val="-1"/>
          <w:u w:val="single"/>
        </w:rPr>
        <w:br/>
        <w:t>Madera Production Credit Assn., 191 Cal.</w:t>
      </w:r>
    </w:p>
    <w:p w:rsidR="00491B30" w:rsidRDefault="00BA5DC6">
      <w:pPr>
        <w:spacing w:line="259" w:lineRule="exact"/>
        <w:ind w:left="898" w:right="57"/>
        <w:jc w:val="both"/>
        <w:rPr>
          <w:rFonts w:ascii="Times New Roman Italic" w:hAnsi="Times New Roman Italic"/>
          <w:color w:val="0000FF"/>
          <w:u w:val="single"/>
        </w:rPr>
      </w:pPr>
      <w:r>
        <w:rPr>
          <w:rFonts w:ascii="Times New Roman Italic" w:hAnsi="Times New Roman Italic"/>
          <w:color w:val="0000FF"/>
          <w:spacing w:val="-1"/>
          <w:u w:val="single"/>
        </w:rPr>
        <w:t xml:space="preserve">App. 4th 611, 119 Cal. Rptr. 3d 380, 2011 Cal. </w:t>
      </w:r>
      <w:r>
        <w:rPr>
          <w:rFonts w:ascii="Times New Roman Italic" w:hAnsi="Times New Roman Italic"/>
          <w:color w:val="0000FF"/>
          <w:u w:val="single"/>
        </w:rPr>
        <w:t>App. LEXIS 1 (Cal. App. 5th Dist., 2011)</w:t>
      </w:r>
    </w:p>
    <w:p w:rsidR="00491B30" w:rsidRDefault="00491B30">
      <w:pPr>
        <w:spacing w:line="259" w:lineRule="exact"/>
        <w:ind w:left="898"/>
        <w:jc w:val="both"/>
        <w:rPr>
          <w:rFonts w:ascii="Times New Roman Italic" w:hAnsi="Times New Roman Italic"/>
          <w:color w:val="0000FF"/>
          <w:u w:val="single"/>
        </w:rPr>
      </w:pPr>
    </w:p>
    <w:p w:rsidR="00491B30" w:rsidRDefault="00BA5DC6">
      <w:pPr>
        <w:spacing w:before="1" w:line="259" w:lineRule="exact"/>
        <w:ind w:left="898" w:right="328"/>
        <w:jc w:val="both"/>
        <w:rPr>
          <w:color w:val="000000"/>
          <w:spacing w:val="-1"/>
        </w:rPr>
      </w:pPr>
      <w:r>
        <w:rPr>
          <w:rFonts w:ascii="Times New Roman Bold" w:hAnsi="Times New Roman Bold"/>
          <w:color w:val="000000"/>
        </w:rPr>
        <w:t>Disposition:</w:t>
      </w:r>
      <w:r>
        <w:rPr>
          <w:color w:val="000000"/>
        </w:rPr>
        <w:t xml:space="preserve">  The judgment of the appellate </w:t>
      </w:r>
      <w:r>
        <w:rPr>
          <w:color w:val="000000"/>
          <w:spacing w:val="-1"/>
        </w:rPr>
        <w:t>court was affirmed.</w:t>
      </w:r>
    </w:p>
    <w:p w:rsidR="00491B30" w:rsidRDefault="00491B30">
      <w:pPr>
        <w:spacing w:line="230" w:lineRule="exact"/>
        <w:ind w:left="978"/>
        <w:rPr>
          <w:color w:val="000000"/>
          <w:spacing w:val="-1"/>
        </w:rPr>
      </w:pPr>
    </w:p>
    <w:p w:rsidR="00491B30" w:rsidRDefault="00BA5DC6">
      <w:pPr>
        <w:spacing w:before="169" w:line="230" w:lineRule="exact"/>
        <w:ind w:left="978"/>
        <w:rPr>
          <w:rFonts w:ascii="Times New Roman Bold" w:hAnsi="Times New Roman Bold"/>
          <w:color w:val="000000"/>
          <w:spacing w:val="-3"/>
          <w:sz w:val="20"/>
        </w:rPr>
      </w:pPr>
      <w:r>
        <w:rPr>
          <w:rFonts w:ascii="Times New Roman Bold" w:hAnsi="Times New Roman Bold"/>
          <w:color w:val="000000"/>
          <w:spacing w:val="-3"/>
          <w:sz w:val="20"/>
        </w:rPr>
        <w:t xml:space="preserve">Core </w:t>
      </w:r>
      <w:r>
        <w:rPr>
          <w:rFonts w:ascii="Times New Roman Bold" w:hAnsi="Times New Roman Bold"/>
          <w:color w:val="000000"/>
          <w:spacing w:val="-3"/>
          <w:sz w:val="20"/>
        </w:rPr>
        <w:t>Terms</w:t>
      </w:r>
    </w:p>
    <w:p w:rsidR="00491B30" w:rsidRDefault="00491B30">
      <w:pPr>
        <w:spacing w:line="239" w:lineRule="exact"/>
        <w:ind w:left="898"/>
        <w:jc w:val="both"/>
        <w:rPr>
          <w:rFonts w:ascii="Times New Roman Bold" w:hAnsi="Times New Roman Bold"/>
          <w:color w:val="000000"/>
          <w:spacing w:val="-3"/>
          <w:sz w:val="20"/>
        </w:rPr>
      </w:pPr>
    </w:p>
    <w:p w:rsidR="00491B30" w:rsidRDefault="00BA5DC6">
      <w:pPr>
        <w:tabs>
          <w:tab w:val="left" w:pos="1588"/>
          <w:tab w:val="left" w:pos="3121"/>
          <w:tab w:val="left" w:pos="4222"/>
          <w:tab w:val="left" w:pos="4898"/>
        </w:tabs>
        <w:spacing w:before="3" w:line="239" w:lineRule="exact"/>
        <w:ind w:left="898"/>
        <w:jc w:val="both"/>
        <w:rPr>
          <w:color w:val="000000"/>
          <w:spacing w:val="-1"/>
        </w:rPr>
      </w:pPr>
      <w:r>
        <w:rPr>
          <w:color w:val="000000"/>
          <w:spacing w:val="-3"/>
        </w:rPr>
        <w:t xml:space="preserve">parol evidence rule, fraud exception, promissory </w:t>
      </w:r>
      <w:r>
        <w:rPr>
          <w:color w:val="000000"/>
          <w:spacing w:val="-1"/>
        </w:rPr>
        <w:t xml:space="preserve">fraud, fraudulent, written agreement, validity of </w:t>
      </w:r>
      <w:r>
        <w:rPr>
          <w:color w:val="000000"/>
          <w:spacing w:val="-1"/>
        </w:rPr>
        <w:br/>
      </w:r>
      <w:r>
        <w:rPr>
          <w:color w:val="000000"/>
          <w:spacing w:val="-3"/>
        </w:rPr>
        <w:t xml:space="preserve">an </w:t>
      </w:r>
      <w:r>
        <w:rPr>
          <w:color w:val="000000"/>
          <w:spacing w:val="-3"/>
        </w:rPr>
        <w:tab/>
        <w:t xml:space="preserve">agreement, </w:t>
      </w:r>
      <w:r>
        <w:rPr>
          <w:color w:val="000000"/>
          <w:spacing w:val="-3"/>
        </w:rPr>
        <w:tab/>
        <w:t xml:space="preserve">statute </w:t>
      </w:r>
      <w:r>
        <w:rPr>
          <w:color w:val="000000"/>
          <w:spacing w:val="-3"/>
        </w:rPr>
        <w:tab/>
        <w:t xml:space="preserve">of </w:t>
      </w:r>
      <w:r>
        <w:rPr>
          <w:color w:val="000000"/>
          <w:spacing w:val="-3"/>
        </w:rPr>
        <w:tab/>
        <w:t xml:space="preserve">frauds, </w:t>
      </w:r>
      <w:r>
        <w:rPr>
          <w:color w:val="000000"/>
        </w:rPr>
        <w:t xml:space="preserve">misrepresentation, extrinsic evidence, evidence </w:t>
      </w:r>
      <w:r>
        <w:rPr>
          <w:color w:val="000000"/>
          <w:w w:val="108"/>
        </w:rPr>
        <w:t xml:space="preserve">of  fraud,  exclude  evidence,  oral  promise, </w:t>
      </w:r>
      <w:r>
        <w:rPr>
          <w:color w:val="000000"/>
          <w:spacing w:val="-1"/>
        </w:rPr>
        <w:t xml:space="preserve">invalidating, </w:t>
      </w:r>
      <w:r>
        <w:rPr>
          <w:color w:val="000000"/>
          <w:spacing w:val="-1"/>
        </w:rPr>
        <w:t>collateral, shield, parol</w:t>
      </w:r>
    </w:p>
    <w:p w:rsidR="00491B30" w:rsidRDefault="00491B30">
      <w:pPr>
        <w:spacing w:line="230" w:lineRule="exact"/>
        <w:ind w:left="978"/>
        <w:rPr>
          <w:color w:val="000000"/>
          <w:spacing w:val="-1"/>
        </w:rPr>
      </w:pPr>
    </w:p>
    <w:p w:rsidR="00491B30" w:rsidRDefault="00BA5DC6">
      <w:pPr>
        <w:spacing w:before="133" w:line="230" w:lineRule="exact"/>
        <w:ind w:left="978"/>
        <w:rPr>
          <w:rFonts w:ascii="Times New Roman Bold" w:hAnsi="Times New Roman Bold"/>
          <w:color w:val="000000"/>
          <w:spacing w:val="-1"/>
          <w:sz w:val="20"/>
        </w:rPr>
      </w:pPr>
      <w:r>
        <w:rPr>
          <w:rFonts w:ascii="Times New Roman Bold" w:hAnsi="Times New Roman Bold"/>
          <w:color w:val="000000"/>
          <w:spacing w:val="-1"/>
          <w:sz w:val="20"/>
        </w:rPr>
        <w:t>Case Summary</w:t>
      </w:r>
    </w:p>
    <w:p w:rsidR="00491B30" w:rsidRDefault="00BA5DC6">
      <w:pPr>
        <w:spacing w:before="211" w:line="276" w:lineRule="exact"/>
        <w:ind w:left="898"/>
        <w:rPr>
          <w:rFonts w:ascii="Times New Roman Bold" w:hAnsi="Times New Roman Bold"/>
          <w:color w:val="000000"/>
          <w:spacing w:val="-2"/>
        </w:rPr>
      </w:pPr>
      <w:r>
        <w:rPr>
          <w:rFonts w:ascii="Times New Roman Bold" w:hAnsi="Times New Roman Bold"/>
          <w:color w:val="000000"/>
          <w:spacing w:val="-2"/>
        </w:rPr>
        <w:t>Procedural Posture</w:t>
      </w:r>
    </w:p>
    <w:p w:rsidR="00491B30" w:rsidRDefault="00BA5DC6">
      <w:pPr>
        <w:spacing w:before="2" w:line="259" w:lineRule="exact"/>
        <w:ind w:left="20" w:right="727"/>
        <w:jc w:val="both"/>
        <w:rPr>
          <w:color w:val="000000"/>
        </w:rPr>
      </w:pPr>
      <w:r>
        <w:rPr>
          <w:rFonts w:ascii="Times New Roman Bold" w:hAnsi="Times New Roman Bold"/>
          <w:color w:val="000000"/>
          <w:spacing w:val="-2"/>
        </w:rPr>
        <w:br w:type="column"/>
      </w:r>
      <w:r>
        <w:rPr>
          <w:color w:val="000000"/>
        </w:rPr>
        <w:lastRenderedPageBreak/>
        <w:t>resentation. The trial court granted the lend-</w:t>
      </w:r>
      <w:r>
        <w:rPr>
          <w:color w:val="000000"/>
        </w:rPr>
        <w:br/>
        <w:t>er’s motion for summary judgment, ruling that the fraud exception to the parol evidence</w:t>
      </w:r>
    </w:p>
    <w:p w:rsidR="00491B30" w:rsidRDefault="00BA5DC6">
      <w:pPr>
        <w:spacing w:before="1" w:line="259" w:lineRule="exact"/>
        <w:ind w:left="20" w:right="695"/>
        <w:jc w:val="both"/>
        <w:rPr>
          <w:color w:val="000000"/>
          <w:w w:val="101"/>
        </w:rPr>
      </w:pPr>
      <w:r>
        <w:rPr>
          <w:color w:val="000000"/>
        </w:rPr>
        <w:t xml:space="preserve">rule does not allow parol evidence of promises </w:t>
      </w:r>
      <w:r>
        <w:rPr>
          <w:color w:val="000000"/>
          <w:w w:val="101"/>
        </w:rPr>
        <w:t>at odds with t</w:t>
      </w:r>
      <w:r>
        <w:rPr>
          <w:color w:val="000000"/>
          <w:w w:val="101"/>
        </w:rPr>
        <w:t>he terms of the written agree-</w:t>
      </w:r>
    </w:p>
    <w:p w:rsidR="00491B30" w:rsidRDefault="00BA5DC6">
      <w:pPr>
        <w:spacing w:before="1" w:line="259" w:lineRule="exact"/>
        <w:ind w:left="20" w:right="640"/>
        <w:jc w:val="both"/>
        <w:rPr>
          <w:color w:val="000000"/>
          <w:spacing w:val="-1"/>
        </w:rPr>
      </w:pPr>
      <w:r>
        <w:rPr>
          <w:color w:val="000000"/>
          <w:spacing w:val="-2"/>
        </w:rPr>
        <w:t>ment. The California Court of Appeal, Fifth Ap-</w:t>
      </w:r>
      <w:r>
        <w:rPr>
          <w:color w:val="000000"/>
          <w:spacing w:val="-2"/>
        </w:rPr>
        <w:br/>
      </w:r>
      <w:r>
        <w:rPr>
          <w:color w:val="000000"/>
          <w:spacing w:val="-1"/>
        </w:rPr>
        <w:t>pellate District, reversed. The lender’s peti-</w:t>
      </w:r>
    </w:p>
    <w:p w:rsidR="00491B30" w:rsidRDefault="00BA5DC6">
      <w:pPr>
        <w:spacing w:before="1" w:line="259" w:lineRule="exact"/>
        <w:ind w:left="20"/>
        <w:rPr>
          <w:color w:val="000000"/>
        </w:rPr>
      </w:pPr>
      <w:r>
        <w:rPr>
          <w:color w:val="000000"/>
        </w:rPr>
        <w:t>tion for review was granted.</w:t>
      </w:r>
    </w:p>
    <w:p w:rsidR="00491B30" w:rsidRDefault="00BA5DC6">
      <w:pPr>
        <w:spacing w:before="245" w:line="276" w:lineRule="exact"/>
        <w:ind w:left="20"/>
        <w:rPr>
          <w:rFonts w:ascii="Times New Roman Bold" w:hAnsi="Times New Roman Bold"/>
          <w:color w:val="000000"/>
          <w:spacing w:val="-3"/>
        </w:rPr>
      </w:pPr>
      <w:r>
        <w:rPr>
          <w:rFonts w:ascii="Times New Roman Bold" w:hAnsi="Times New Roman Bold"/>
          <w:color w:val="000000"/>
          <w:spacing w:val="-3"/>
        </w:rPr>
        <w:t>Overview</w:t>
      </w:r>
    </w:p>
    <w:p w:rsidR="00491B30" w:rsidRDefault="00BA5DC6">
      <w:pPr>
        <w:spacing w:line="259" w:lineRule="exact"/>
        <w:ind w:left="20" w:right="654"/>
        <w:rPr>
          <w:color w:val="000000"/>
          <w:spacing w:val="-1"/>
        </w:rPr>
      </w:pPr>
      <w:r>
        <w:rPr>
          <w:color w:val="000000"/>
        </w:rPr>
        <w:t xml:space="preserve">The borrowers alleged that they were induced </w:t>
      </w:r>
      <w:r>
        <w:rPr>
          <w:color w:val="000000"/>
        </w:rPr>
        <w:br/>
      </w:r>
      <w:r>
        <w:rPr>
          <w:color w:val="000000"/>
          <w:w w:val="105"/>
        </w:rPr>
        <w:t xml:space="preserve">to enter into a contract with the lender by the </w:t>
      </w:r>
      <w:r>
        <w:rPr>
          <w:color w:val="000000"/>
          <w:w w:val="105"/>
        </w:rPr>
        <w:br/>
      </w:r>
      <w:r>
        <w:rPr>
          <w:color w:val="000000"/>
          <w:spacing w:val="-1"/>
        </w:rPr>
        <w:t xml:space="preserve">lender’s oral misrepresentations of the terms </w:t>
      </w:r>
      <w:r>
        <w:rPr>
          <w:color w:val="000000"/>
          <w:spacing w:val="-1"/>
        </w:rPr>
        <w:br/>
      </w:r>
      <w:r>
        <w:rPr>
          <w:color w:val="000000"/>
        </w:rPr>
        <w:t xml:space="preserve">contained in the written agreement. The court </w:t>
      </w:r>
      <w:r>
        <w:rPr>
          <w:color w:val="000000"/>
        </w:rPr>
        <w:br/>
      </w:r>
      <w:r>
        <w:rPr>
          <w:color w:val="000000"/>
          <w:w w:val="105"/>
        </w:rPr>
        <w:t>concluded that</w:t>
      </w:r>
      <w:r>
        <w:rPr>
          <w:rFonts w:ascii="Times New Roman Italic" w:hAnsi="Times New Roman Italic"/>
          <w:color w:val="0000FF"/>
          <w:w w:val="105"/>
        </w:rPr>
        <w:t xml:space="preserve"> </w:t>
      </w:r>
      <w:r>
        <w:rPr>
          <w:rFonts w:ascii="Times New Roman Italic" w:hAnsi="Times New Roman Italic"/>
          <w:color w:val="0000FF"/>
          <w:w w:val="105"/>
          <w:u w:val="single"/>
        </w:rPr>
        <w:t xml:space="preserve"> Bank of America etc. Assn. v. </w:t>
      </w:r>
      <w:r>
        <w:rPr>
          <w:rFonts w:ascii="Times New Roman Italic" w:hAnsi="Times New Roman Italic"/>
          <w:color w:val="0000FF"/>
          <w:w w:val="105"/>
          <w:u w:val="single"/>
        </w:rPr>
        <w:br/>
      </w:r>
      <w:r>
        <w:rPr>
          <w:rFonts w:ascii="Times New Roman Italic" w:hAnsi="Times New Roman Italic"/>
          <w:color w:val="0000FF"/>
          <w:spacing w:val="-1"/>
          <w:u w:val="single"/>
        </w:rPr>
        <w:t>Pendergrass, 4 Cal. 2d 258 (1935)</w:t>
      </w:r>
      <w:r>
        <w:rPr>
          <w:color w:val="000000"/>
          <w:spacing w:val="-1"/>
        </w:rPr>
        <w:t>, which ad-</w:t>
      </w:r>
      <w:r>
        <w:rPr>
          <w:color w:val="000000"/>
          <w:spacing w:val="-1"/>
        </w:rPr>
        <w:br/>
      </w:r>
      <w:r>
        <w:rPr>
          <w:color w:val="000000"/>
          <w:w w:val="101"/>
        </w:rPr>
        <w:t>opted a limitation on</w:t>
      </w:r>
      <w:r>
        <w:rPr>
          <w:color w:val="000000"/>
          <w:w w:val="101"/>
        </w:rPr>
        <w:t xml:space="preserve"> the fraud exception to the </w:t>
      </w:r>
      <w:r>
        <w:rPr>
          <w:color w:val="000000"/>
          <w:w w:val="101"/>
        </w:rPr>
        <w:br/>
      </w:r>
      <w:r>
        <w:rPr>
          <w:color w:val="000000"/>
          <w:spacing w:val="-1"/>
        </w:rPr>
        <w:t>parol evidence rule, was ill-considered, and</w:t>
      </w:r>
    </w:p>
    <w:p w:rsidR="00491B30" w:rsidRDefault="00BA5DC6">
      <w:pPr>
        <w:spacing w:line="259" w:lineRule="exact"/>
        <w:ind w:left="20" w:right="639"/>
        <w:rPr>
          <w:color w:val="000000"/>
          <w:spacing w:val="-1"/>
        </w:rPr>
      </w:pPr>
      <w:r>
        <w:rPr>
          <w:color w:val="000000"/>
          <w:spacing w:val="-3"/>
        </w:rPr>
        <w:t>should be overruled. The Pendergrass rule is dif-</w:t>
      </w:r>
      <w:r>
        <w:rPr>
          <w:color w:val="000000"/>
          <w:spacing w:val="-3"/>
        </w:rPr>
        <w:br/>
      </w:r>
      <w:r>
        <w:rPr>
          <w:color w:val="000000"/>
          <w:spacing w:val="-1"/>
        </w:rPr>
        <w:t>ficult to apply. Pendergrass purported to fol-</w:t>
      </w:r>
      <w:r>
        <w:rPr>
          <w:color w:val="000000"/>
          <w:spacing w:val="-1"/>
        </w:rPr>
        <w:br/>
      </w:r>
      <w:r>
        <w:rPr>
          <w:color w:val="000000"/>
        </w:rPr>
        <w:t>low</w:t>
      </w:r>
      <w:r>
        <w:rPr>
          <w:rFonts w:ascii="Times New Roman Italic" w:hAnsi="Times New Roman Italic"/>
          <w:color w:val="0000FF"/>
        </w:rPr>
        <w:t xml:space="preserve"> </w:t>
      </w:r>
      <w:r>
        <w:rPr>
          <w:rFonts w:ascii="Times New Roman Italic" w:hAnsi="Times New Roman Italic"/>
          <w:color w:val="0000FF"/>
          <w:u w:val="single"/>
        </w:rPr>
        <w:t xml:space="preserve"> Code Civ. Proc., § 1856</w:t>
      </w:r>
      <w:r>
        <w:rPr>
          <w:color w:val="000000"/>
        </w:rPr>
        <w:t xml:space="preserve">, but its restriction </w:t>
      </w:r>
      <w:r>
        <w:rPr>
          <w:color w:val="000000"/>
        </w:rPr>
        <w:br/>
      </w:r>
      <w:r>
        <w:rPr>
          <w:color w:val="000000"/>
        </w:rPr>
        <w:t xml:space="preserve">on the fraud exception was inconsistent with </w:t>
      </w:r>
      <w:r>
        <w:rPr>
          <w:color w:val="000000"/>
        </w:rPr>
        <w:br/>
      </w:r>
      <w:r>
        <w:rPr>
          <w:color w:val="000000"/>
          <w:spacing w:val="-4"/>
        </w:rPr>
        <w:t xml:space="preserve">the terms of the statute, and with settled case law </w:t>
      </w:r>
      <w:r>
        <w:rPr>
          <w:color w:val="000000"/>
          <w:spacing w:val="-4"/>
        </w:rPr>
        <w:br/>
      </w:r>
      <w:r>
        <w:rPr>
          <w:color w:val="000000"/>
        </w:rPr>
        <w:t xml:space="preserve">as well. While intended to prevent fraud, the </w:t>
      </w:r>
      <w:r>
        <w:rPr>
          <w:color w:val="000000"/>
        </w:rPr>
        <w:br/>
        <w:t xml:space="preserve">Pendergrass rule may actually provide a shield </w:t>
      </w:r>
      <w:r>
        <w:rPr>
          <w:color w:val="000000"/>
        </w:rPr>
        <w:br/>
      </w:r>
      <w:r>
        <w:rPr>
          <w:color w:val="000000"/>
          <w:spacing w:val="-1"/>
        </w:rPr>
        <w:t xml:space="preserve">for fraudulent conduct. The Pendergrass rule </w:t>
      </w:r>
      <w:r>
        <w:rPr>
          <w:color w:val="000000"/>
          <w:spacing w:val="-1"/>
        </w:rPr>
        <w:br/>
      </w:r>
      <w:r>
        <w:rPr>
          <w:color w:val="000000"/>
        </w:rPr>
        <w:t>failed to accoun</w:t>
      </w:r>
      <w:r>
        <w:rPr>
          <w:color w:val="000000"/>
        </w:rPr>
        <w:t xml:space="preserve">t for the fundamental principle </w:t>
      </w:r>
      <w:r>
        <w:rPr>
          <w:color w:val="000000"/>
        </w:rPr>
        <w:br/>
      </w:r>
      <w:r>
        <w:rPr>
          <w:color w:val="000000"/>
          <w:spacing w:val="-1"/>
        </w:rPr>
        <w:t>that fraud undermines the essential validity</w:t>
      </w:r>
    </w:p>
    <w:p w:rsidR="00491B30" w:rsidRDefault="00BA5DC6">
      <w:pPr>
        <w:spacing w:line="259" w:lineRule="exact"/>
        <w:ind w:left="20" w:right="654"/>
        <w:jc w:val="both"/>
        <w:rPr>
          <w:color w:val="000000"/>
        </w:rPr>
      </w:pPr>
      <w:r>
        <w:rPr>
          <w:color w:val="000000"/>
          <w:spacing w:val="-1"/>
        </w:rPr>
        <w:t xml:space="preserve">of the parties’ agreement. The Pendergrass rule </w:t>
      </w:r>
      <w:r>
        <w:rPr>
          <w:color w:val="000000"/>
        </w:rPr>
        <w:t>sought to prevent frauds and perjuries, but ig-</w:t>
      </w:r>
      <w:r>
        <w:rPr>
          <w:color w:val="000000"/>
        </w:rPr>
        <w:br/>
      </w:r>
      <w:r>
        <w:rPr>
          <w:color w:val="000000"/>
          <w:spacing w:val="-1"/>
        </w:rPr>
        <w:t>nored California law protecting against promis-</w:t>
      </w:r>
      <w:r>
        <w:rPr>
          <w:color w:val="000000"/>
          <w:spacing w:val="-1"/>
        </w:rPr>
        <w:br/>
      </w:r>
      <w:r>
        <w:rPr>
          <w:color w:val="000000"/>
        </w:rPr>
        <w:t xml:space="preserve">sory fraud. The parol evidence </w:t>
      </w:r>
      <w:r>
        <w:rPr>
          <w:color w:val="000000"/>
        </w:rPr>
        <w:t>rule should</w:t>
      </w:r>
    </w:p>
    <w:p w:rsidR="00491B30" w:rsidRDefault="00BA5DC6">
      <w:pPr>
        <w:spacing w:line="259" w:lineRule="exact"/>
        <w:ind w:left="20" w:right="748"/>
        <w:jc w:val="both"/>
        <w:rPr>
          <w:color w:val="000000"/>
          <w:spacing w:val="-3"/>
        </w:rPr>
      </w:pPr>
      <w:r>
        <w:rPr>
          <w:color w:val="000000"/>
          <w:w w:val="102"/>
        </w:rPr>
        <w:t xml:space="preserve">not be used as a shield to prevent the proof of </w:t>
      </w:r>
      <w:r>
        <w:rPr>
          <w:color w:val="000000"/>
          <w:spacing w:val="-3"/>
        </w:rPr>
        <w:t xml:space="preserve">fraud. </w:t>
      </w:r>
    </w:p>
    <w:p w:rsidR="00491B30" w:rsidRDefault="00491B30">
      <w:pPr>
        <w:rPr>
          <w:color w:val="000000"/>
          <w:spacing w:val="-3"/>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30" w:lineRule="exact"/>
        <w:ind w:left="5183"/>
        <w:rPr>
          <w:color w:val="000000"/>
          <w:spacing w:val="-3"/>
        </w:rPr>
      </w:pPr>
    </w:p>
    <w:p w:rsidR="00491B30" w:rsidRDefault="00491B30">
      <w:pPr>
        <w:spacing w:line="230" w:lineRule="exact"/>
        <w:ind w:left="5183"/>
        <w:rPr>
          <w:color w:val="000000"/>
          <w:spacing w:val="-3"/>
        </w:rPr>
      </w:pPr>
    </w:p>
    <w:p w:rsidR="00491B30" w:rsidRDefault="00BA5DC6">
      <w:pPr>
        <w:spacing w:before="94" w:line="230" w:lineRule="exact"/>
        <w:ind w:left="5183"/>
        <w:rPr>
          <w:color w:val="000000"/>
          <w:spacing w:val="-1"/>
          <w:sz w:val="20"/>
        </w:rPr>
      </w:pPr>
      <w:r>
        <w:rPr>
          <w:color w:val="000000"/>
          <w:spacing w:val="-1"/>
          <w:sz w:val="20"/>
        </w:rPr>
        <w:t xml:space="preserve">Charles Cox </w:t>
      </w:r>
      <w:r>
        <w:rPr>
          <w:color w:val="000000"/>
          <w:spacing w:val="-1"/>
          <w:sz w:val="20"/>
        </w:rPr>
        <w:pict>
          <v:line id="_x0000_s1079" style="position:absolute;left:0;text-align:left;z-index:-251594752;mso-position-horizontal-relative:page;mso-position-vertical-relative:page" from="66.5pt,560.85pt" to="301pt,560.85pt" o:allowincell="f" strokeweight="1.5pt">
            <w10:wrap anchorx="page" anchory="page"/>
          </v:line>
        </w:pict>
      </w:r>
      <w:r>
        <w:rPr>
          <w:color w:val="000000"/>
          <w:spacing w:val="-1"/>
          <w:sz w:val="20"/>
        </w:rPr>
        <w:pict>
          <v:line id="_x0000_s1080" style="position:absolute;left:0;text-align:left;z-index:-251593728;mso-position-horizontal-relative:page;mso-position-vertical-relative:page" from="300pt,567.7pt" to="301pt,567.7pt" o:allowincell="f" strokeweight="14.22pt">
            <w10:wrap anchorx="page" anchory="page"/>
          </v:line>
        </w:pict>
      </w:r>
      <w:r>
        <w:rPr>
          <w:color w:val="000000"/>
          <w:spacing w:val="-1"/>
          <w:sz w:val="20"/>
        </w:rPr>
        <w:pict>
          <v:line id="_x0000_s1081" style="position:absolute;left:0;text-align:left;z-index:-251592704;mso-position-horizontal-relative:page;mso-position-vertical-relative:page" from="66.5pt,574.6pt" to="301pt,574.6pt" o:allowincell="f" strokeweight="1.5pt">
            <w10:wrap anchorx="page" anchory="page"/>
          </v:line>
        </w:pict>
      </w:r>
      <w:r>
        <w:rPr>
          <w:color w:val="000000"/>
          <w:spacing w:val="-1"/>
          <w:sz w:val="20"/>
        </w:rPr>
        <w:pict>
          <v:line id="_x0000_s1082" style="position:absolute;left:0;text-align:left;z-index:-251591680;mso-position-horizontal-relative:page;mso-position-vertical-relative:page" from="66.5pt,567.7pt" to="67.5pt,567.7pt" o:allowincell="f" strokeweight="14.22pt">
            <w10:wrap anchorx="page" anchory="page"/>
          </v:line>
        </w:pict>
      </w:r>
      <w:r>
        <w:rPr>
          <w:color w:val="000000"/>
          <w:spacing w:val="-1"/>
          <w:sz w:val="20"/>
        </w:rPr>
        <w:pict>
          <v:line id="_x0000_s1083" style="position:absolute;left:0;text-align:left;z-index:-251589632;mso-position-horizontal-relative:page;mso-position-vertical-relative:page" from="66.5pt,674.35pt" to="301pt,674.35pt" o:allowincell="f" strokeweight="1.5pt">
            <w10:wrap anchorx="page" anchory="page"/>
          </v:line>
        </w:pict>
      </w:r>
      <w:r>
        <w:rPr>
          <w:color w:val="000000"/>
          <w:spacing w:val="-1"/>
          <w:sz w:val="20"/>
        </w:rPr>
        <w:pict>
          <v:line id="_x0000_s1084" style="position:absolute;left:0;text-align:left;z-index:-251588608;mso-position-horizontal-relative:page;mso-position-vertical-relative:page" from="300pt,681.2pt" to="301pt,681.2pt" o:allowincell="f" strokeweight="14.22pt">
            <w10:wrap anchorx="page" anchory="page"/>
          </v:line>
        </w:pict>
      </w:r>
      <w:r>
        <w:rPr>
          <w:color w:val="000000"/>
          <w:spacing w:val="-1"/>
          <w:sz w:val="20"/>
        </w:rPr>
        <w:pict>
          <v:line id="_x0000_s1085" style="position:absolute;left:0;text-align:left;z-index:-251587584;mso-position-horizontal-relative:page;mso-position-vertical-relative:page" from="66.5pt,688.1pt" to="301pt,688.1pt" o:allowincell="f" strokeweight="1.5pt">
            <w10:wrap anchorx="page" anchory="page"/>
          </v:line>
        </w:pict>
      </w:r>
      <w:r>
        <w:rPr>
          <w:color w:val="000000"/>
          <w:spacing w:val="-1"/>
          <w:sz w:val="20"/>
        </w:rPr>
        <w:pict>
          <v:line id="_x0000_s1086" style="position:absolute;left:0;text-align:left;z-index:-251586560;mso-position-horizontal-relative:page;mso-position-vertical-relative:page" from="66.5pt,681.2pt" to="67.5pt,681.2pt" o:allowincell="f" strokeweight="14.22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83"/>
        <w:rPr>
          <w:color w:val="000000"/>
          <w:sz w:val="20"/>
        </w:rPr>
      </w:pPr>
      <w:bookmarkStart w:id="2" w:name="Pg3"/>
      <w:bookmarkEnd w:id="2"/>
      <w:r>
        <w:rPr>
          <w:color w:val="000000"/>
          <w:sz w:val="20"/>
        </w:rPr>
        <w:lastRenderedPageBreak/>
        <w:t>55 Cal. 4th 1169, *1169; 2013 Cal. LEXIS 253, **1</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76" w:lineRule="exact"/>
        <w:ind w:left="898"/>
        <w:rPr>
          <w:color w:val="000000"/>
          <w:sz w:val="20"/>
        </w:rPr>
      </w:pPr>
    </w:p>
    <w:p w:rsidR="00491B30" w:rsidRDefault="00BA5DC6">
      <w:pPr>
        <w:spacing w:before="249" w:line="276" w:lineRule="exact"/>
        <w:ind w:left="898"/>
        <w:rPr>
          <w:rFonts w:ascii="Times New Roman Bold" w:hAnsi="Times New Roman Bold"/>
          <w:color w:val="000000"/>
          <w:spacing w:val="-3"/>
        </w:rPr>
      </w:pPr>
      <w:r>
        <w:rPr>
          <w:rFonts w:ascii="Times New Roman Bold" w:hAnsi="Times New Roman Bold"/>
          <w:color w:val="000000"/>
          <w:spacing w:val="-3"/>
        </w:rPr>
        <w:t>Outcome</w:t>
      </w:r>
    </w:p>
    <w:p w:rsidR="00491B30" w:rsidRDefault="00BA5DC6">
      <w:pPr>
        <w:spacing w:line="259" w:lineRule="exact"/>
        <w:ind w:left="898" w:right="338"/>
        <w:jc w:val="both"/>
        <w:rPr>
          <w:color w:val="000000"/>
          <w:spacing w:val="-3"/>
        </w:rPr>
      </w:pPr>
      <w:r>
        <w:rPr>
          <w:color w:val="000000"/>
        </w:rPr>
        <w:t>The judgment of the appellate court was af-</w:t>
      </w:r>
      <w:r>
        <w:rPr>
          <w:color w:val="000000"/>
        </w:rPr>
        <w:br/>
      </w:r>
      <w:r>
        <w:rPr>
          <w:color w:val="000000"/>
          <w:spacing w:val="-3"/>
        </w:rPr>
        <w:t>firmed.</w:t>
      </w:r>
    </w:p>
    <w:p w:rsidR="00491B30" w:rsidRDefault="00491B30">
      <w:pPr>
        <w:spacing w:line="230" w:lineRule="exact"/>
        <w:ind w:left="978"/>
        <w:rPr>
          <w:color w:val="000000"/>
          <w:spacing w:val="-3"/>
        </w:rPr>
      </w:pPr>
    </w:p>
    <w:p w:rsidR="00491B30" w:rsidRDefault="00BA5DC6">
      <w:pPr>
        <w:spacing w:before="168" w:line="230" w:lineRule="exact"/>
        <w:ind w:left="978"/>
        <w:rPr>
          <w:rFonts w:ascii="Times New Roman Bold" w:hAnsi="Times New Roman Bold"/>
          <w:color w:val="000000"/>
          <w:spacing w:val="-2"/>
          <w:sz w:val="20"/>
        </w:rPr>
      </w:pPr>
      <w:r>
        <w:rPr>
          <w:rFonts w:ascii="Times New Roman Bold" w:hAnsi="Times New Roman Bold"/>
          <w:color w:val="000000"/>
          <w:spacing w:val="-2"/>
          <w:sz w:val="20"/>
        </w:rPr>
        <w:t>LexisNexis® Headnotes</w:t>
      </w:r>
    </w:p>
    <w:p w:rsidR="00491B30" w:rsidRDefault="00491B30">
      <w:pPr>
        <w:spacing w:line="219" w:lineRule="exact"/>
        <w:ind w:left="1098"/>
        <w:jc w:val="both"/>
        <w:rPr>
          <w:rFonts w:ascii="Times New Roman Bold" w:hAnsi="Times New Roman Bold"/>
          <w:color w:val="000000"/>
          <w:spacing w:val="-2"/>
          <w:sz w:val="20"/>
        </w:rPr>
      </w:pPr>
    </w:p>
    <w:p w:rsidR="00491B30" w:rsidRDefault="00BA5DC6">
      <w:pPr>
        <w:spacing w:before="15" w:line="219" w:lineRule="exact"/>
        <w:ind w:left="1098" w:right="490"/>
        <w:jc w:val="both"/>
        <w:rPr>
          <w:color w:val="000000"/>
          <w:sz w:val="20"/>
        </w:rPr>
      </w:pPr>
      <w:r>
        <w:rPr>
          <w:color w:val="000000"/>
          <w:sz w:val="20"/>
        </w:rPr>
        <w:t>Torts &gt; ... &gt; Fraud &amp; Misrepresentation &gt; Actual Fraud &gt; Elements</w:t>
      </w:r>
    </w:p>
    <w:p w:rsidR="00491B30" w:rsidRDefault="00BA5DC6">
      <w:pPr>
        <w:spacing w:before="192" w:line="259" w:lineRule="exact"/>
        <w:ind w:left="898"/>
        <w:jc w:val="both"/>
        <w:rPr>
          <w:color w:val="000000"/>
          <w:w w:val="101"/>
        </w:rPr>
      </w:pPr>
      <w:r>
        <w:rPr>
          <w:rFonts w:ascii="Times New Roman Bold Italic" w:hAnsi="Times New Roman Bold Italic"/>
          <w:color w:val="000000"/>
          <w:spacing w:val="-3"/>
        </w:rPr>
        <w:t>HN1</w:t>
      </w:r>
      <w:r>
        <w:rPr>
          <w:color w:val="000000"/>
          <w:spacing w:val="-3"/>
        </w:rPr>
        <w:t xml:space="preserve"> One of the forms of actual fraud is a prom-</w:t>
      </w:r>
      <w:r>
        <w:rPr>
          <w:color w:val="000000"/>
          <w:spacing w:val="-3"/>
        </w:rPr>
        <w:br/>
      </w:r>
      <w:r>
        <w:rPr>
          <w:color w:val="000000"/>
        </w:rPr>
        <w:t xml:space="preserve">ise made without any intention of performing </w:t>
      </w:r>
      <w:r>
        <w:rPr>
          <w:color w:val="000000"/>
          <w:w w:val="101"/>
        </w:rPr>
        <w:t>it.</w:t>
      </w:r>
      <w:r>
        <w:rPr>
          <w:rFonts w:ascii="Times New Roman Italic" w:hAnsi="Times New Roman Italic"/>
          <w:color w:val="0000FF"/>
          <w:w w:val="101"/>
        </w:rPr>
        <w:t xml:space="preserve"> </w:t>
      </w:r>
      <w:r>
        <w:rPr>
          <w:rFonts w:ascii="Times New Roman Italic" w:hAnsi="Times New Roman Italic"/>
          <w:color w:val="0000FF"/>
          <w:w w:val="101"/>
          <w:u w:val="single"/>
        </w:rPr>
        <w:t xml:space="preserve"> Civ. Code, § 1572</w:t>
      </w:r>
      <w:r>
        <w:rPr>
          <w:color w:val="000000"/>
          <w:w w:val="101"/>
        </w:rPr>
        <w:t>,</w:t>
      </w:r>
      <w:r>
        <w:rPr>
          <w:rFonts w:ascii="Times New Roman Italic" w:hAnsi="Times New Roman Italic"/>
          <w:color w:val="0000FF"/>
          <w:w w:val="101"/>
        </w:rPr>
        <w:t xml:space="preserve"> </w:t>
      </w:r>
      <w:r>
        <w:rPr>
          <w:rFonts w:ascii="Times New Roman Italic" w:hAnsi="Times New Roman Italic"/>
          <w:color w:val="0000FF"/>
          <w:w w:val="101"/>
          <w:u w:val="single"/>
        </w:rPr>
        <w:t xml:space="preserve"> subd. 4</w:t>
      </w:r>
      <w:r>
        <w:rPr>
          <w:color w:val="000000"/>
          <w:w w:val="101"/>
        </w:rPr>
        <w:t>.</w:t>
      </w:r>
    </w:p>
    <w:p w:rsidR="00491B30" w:rsidRDefault="00491B30">
      <w:pPr>
        <w:spacing w:line="219" w:lineRule="exact"/>
        <w:ind w:left="898"/>
        <w:jc w:val="both"/>
        <w:rPr>
          <w:color w:val="000000"/>
          <w:w w:val="101"/>
        </w:rPr>
      </w:pPr>
    </w:p>
    <w:p w:rsidR="00491B30" w:rsidRDefault="00BA5DC6">
      <w:pPr>
        <w:spacing w:before="50" w:line="219" w:lineRule="exact"/>
        <w:ind w:left="1098" w:right="151"/>
        <w:jc w:val="both"/>
        <w:rPr>
          <w:color w:val="000000"/>
          <w:sz w:val="20"/>
        </w:rPr>
      </w:pPr>
      <w:r>
        <w:rPr>
          <w:color w:val="000000"/>
          <w:sz w:val="20"/>
        </w:rPr>
        <w:t xml:space="preserve">Contracts Law &gt; Contract </w:t>
      </w:r>
      <w:r>
        <w:rPr>
          <w:color w:val="000000"/>
          <w:sz w:val="20"/>
        </w:rPr>
        <w:t>Interpretation &gt; Parol Evi-</w:t>
      </w:r>
      <w:r>
        <w:rPr>
          <w:color w:val="000000"/>
          <w:sz w:val="20"/>
        </w:rPr>
        <w:br/>
        <w:t>dence &gt; General Overview</w:t>
      </w:r>
    </w:p>
    <w:p w:rsidR="00491B30" w:rsidRDefault="00BA5DC6">
      <w:pPr>
        <w:spacing w:before="192" w:line="259" w:lineRule="exact"/>
        <w:ind w:left="898"/>
        <w:rPr>
          <w:color w:val="000000"/>
          <w:w w:val="101"/>
        </w:rPr>
      </w:pPr>
      <w:r>
        <w:rPr>
          <w:rFonts w:ascii="Times New Roman Bold Italic" w:hAnsi="Times New Roman Bold Italic"/>
          <w:color w:val="000000"/>
        </w:rPr>
        <w:t>HN2</w:t>
      </w:r>
      <w:r>
        <w:rPr>
          <w:color w:val="000000"/>
        </w:rPr>
        <w:t xml:space="preserve"> The parol evidence rule is codified in </w:t>
      </w:r>
      <w:r>
        <w:rPr>
          <w:color w:val="000000"/>
        </w:rPr>
        <w:br/>
      </w:r>
      <w:r>
        <w:rPr>
          <w:rFonts w:ascii="Times New Roman Italic" w:hAnsi="Times New Roman Italic"/>
          <w:color w:val="0000FF"/>
          <w:spacing w:val="-2"/>
          <w:u w:val="single"/>
        </w:rPr>
        <w:t xml:space="preserve"> Code Civ. Proc., § 1856</w:t>
      </w:r>
      <w:r>
        <w:rPr>
          <w:color w:val="000000"/>
          <w:spacing w:val="-2"/>
        </w:rPr>
        <w:t>, and</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Civ. Code, § 1625</w:t>
      </w:r>
      <w:r>
        <w:rPr>
          <w:color w:val="000000"/>
          <w:spacing w:val="-2"/>
        </w:rPr>
        <w:t xml:space="preserve">. </w:t>
      </w:r>
      <w:r>
        <w:rPr>
          <w:color w:val="000000"/>
          <w:spacing w:val="-2"/>
        </w:rPr>
        <w:br/>
      </w:r>
      <w:r>
        <w:rPr>
          <w:color w:val="000000"/>
        </w:rPr>
        <w:t>It provides that when parties enter an inte-</w:t>
      </w:r>
      <w:r>
        <w:rPr>
          <w:color w:val="000000"/>
        </w:rPr>
        <w:br/>
      </w:r>
      <w:r>
        <w:rPr>
          <w:color w:val="000000"/>
          <w:spacing w:val="-1"/>
        </w:rPr>
        <w:t xml:space="preserve">grated written agreement, extrinsic evidence </w:t>
      </w:r>
      <w:r>
        <w:rPr>
          <w:color w:val="000000"/>
          <w:spacing w:val="-1"/>
        </w:rPr>
        <w:br/>
      </w:r>
      <w:r>
        <w:rPr>
          <w:color w:val="000000"/>
          <w:w w:val="103"/>
        </w:rPr>
        <w:t xml:space="preserve">may not be relied upon to alter or add to the </w:t>
      </w:r>
      <w:r>
        <w:rPr>
          <w:color w:val="000000"/>
          <w:w w:val="103"/>
        </w:rPr>
        <w:br/>
      </w:r>
      <w:r>
        <w:rPr>
          <w:color w:val="000000"/>
          <w:spacing w:val="-2"/>
        </w:rPr>
        <w:t xml:space="preserve">terms of the writing. An integrated agreement is </w:t>
      </w:r>
      <w:r>
        <w:rPr>
          <w:color w:val="000000"/>
          <w:spacing w:val="-2"/>
        </w:rPr>
        <w:br/>
      </w:r>
      <w:r>
        <w:rPr>
          <w:color w:val="000000"/>
          <w:spacing w:val="-4"/>
        </w:rPr>
        <w:t>a writing or writings constituting a final expres-</w:t>
      </w:r>
      <w:r>
        <w:rPr>
          <w:color w:val="000000"/>
          <w:spacing w:val="-4"/>
        </w:rPr>
        <w:br/>
      </w:r>
      <w:r>
        <w:rPr>
          <w:color w:val="000000"/>
          <w:w w:val="101"/>
        </w:rPr>
        <w:t>sion of one or more terms of an agreement.</w:t>
      </w:r>
    </w:p>
    <w:p w:rsidR="00491B30" w:rsidRDefault="00491B30">
      <w:pPr>
        <w:spacing w:line="219" w:lineRule="exact"/>
        <w:ind w:left="898"/>
        <w:jc w:val="both"/>
        <w:rPr>
          <w:color w:val="000000"/>
          <w:w w:val="101"/>
        </w:rPr>
      </w:pPr>
    </w:p>
    <w:p w:rsidR="00491B30" w:rsidRDefault="00BA5DC6">
      <w:pPr>
        <w:spacing w:before="50" w:line="219" w:lineRule="exact"/>
        <w:ind w:left="1098" w:right="151"/>
        <w:jc w:val="both"/>
        <w:rPr>
          <w:color w:val="000000"/>
          <w:sz w:val="20"/>
        </w:rPr>
      </w:pPr>
      <w:r>
        <w:rPr>
          <w:color w:val="000000"/>
          <w:sz w:val="20"/>
        </w:rPr>
        <w:t>Contracts Law &gt; Contract Interpretation &gt; Parol Evi-</w:t>
      </w:r>
      <w:r>
        <w:rPr>
          <w:color w:val="000000"/>
          <w:sz w:val="20"/>
        </w:rPr>
        <w:br/>
        <w:t>dence &gt; Gen</w:t>
      </w:r>
      <w:r>
        <w:rPr>
          <w:color w:val="000000"/>
          <w:sz w:val="20"/>
        </w:rPr>
        <w:t>eral Overview</w:t>
      </w:r>
    </w:p>
    <w:p w:rsidR="00491B30" w:rsidRDefault="00BA5DC6">
      <w:pPr>
        <w:spacing w:before="178" w:line="276" w:lineRule="exact"/>
        <w:ind w:left="898"/>
        <w:rPr>
          <w:color w:val="000000"/>
        </w:rPr>
      </w:pPr>
      <w:r>
        <w:rPr>
          <w:rFonts w:ascii="Times New Roman Bold Italic" w:hAnsi="Times New Roman Bold Italic"/>
          <w:color w:val="000000"/>
        </w:rPr>
        <w:t>HN3</w:t>
      </w:r>
      <w:r>
        <w:rPr>
          <w:color w:val="000000"/>
        </w:rPr>
        <w:t xml:space="preserve"> See</w:t>
      </w:r>
      <w:r>
        <w:rPr>
          <w:rFonts w:ascii="Times New Roman Italic" w:hAnsi="Times New Roman Italic"/>
          <w:color w:val="0000FF"/>
        </w:rPr>
        <w:t xml:space="preserve"> </w:t>
      </w:r>
      <w:r>
        <w:rPr>
          <w:rFonts w:ascii="Times New Roman Italic" w:hAnsi="Times New Roman Italic"/>
          <w:color w:val="0000FF"/>
          <w:u w:val="single"/>
        </w:rPr>
        <w:t xml:space="preserve"> Code Civ. Proc., § 1856, subd. (a)</w:t>
      </w:r>
      <w:r>
        <w:rPr>
          <w:color w:val="000000"/>
        </w:rPr>
        <w:t>.</w:t>
      </w:r>
    </w:p>
    <w:p w:rsidR="00491B30" w:rsidRDefault="00491B30">
      <w:pPr>
        <w:spacing w:line="219" w:lineRule="exact"/>
        <w:ind w:left="898"/>
        <w:jc w:val="both"/>
        <w:rPr>
          <w:color w:val="000000"/>
        </w:rPr>
      </w:pPr>
    </w:p>
    <w:p w:rsidR="00491B30" w:rsidRDefault="00BA5DC6">
      <w:pPr>
        <w:spacing w:before="47" w:line="219" w:lineRule="exact"/>
        <w:ind w:left="1098" w:right="151"/>
        <w:jc w:val="both"/>
        <w:rPr>
          <w:color w:val="000000"/>
          <w:sz w:val="20"/>
        </w:rPr>
      </w:pPr>
      <w:r>
        <w:rPr>
          <w:color w:val="000000"/>
          <w:sz w:val="20"/>
        </w:rPr>
        <w:t>Contracts Law &gt; Contract Interpretation &gt; Parol Evi-</w:t>
      </w:r>
      <w:r>
        <w:rPr>
          <w:color w:val="000000"/>
          <w:sz w:val="20"/>
        </w:rPr>
        <w:br/>
        <w:t>dence &gt; General Overview</w:t>
      </w:r>
    </w:p>
    <w:p w:rsidR="00491B30" w:rsidRDefault="00BA5DC6">
      <w:pPr>
        <w:spacing w:before="178" w:line="276" w:lineRule="exact"/>
        <w:ind w:left="898"/>
        <w:rPr>
          <w:color w:val="000000"/>
        </w:rPr>
      </w:pPr>
      <w:r>
        <w:rPr>
          <w:rFonts w:ascii="Times New Roman Bold Italic" w:hAnsi="Times New Roman Bold Italic"/>
          <w:color w:val="000000"/>
        </w:rPr>
        <w:t>HN4</w:t>
      </w:r>
      <w:r>
        <w:rPr>
          <w:color w:val="000000"/>
        </w:rPr>
        <w:t xml:space="preserve"> See</w:t>
      </w:r>
      <w:r>
        <w:rPr>
          <w:rFonts w:ascii="Times New Roman Italic" w:hAnsi="Times New Roman Italic"/>
          <w:color w:val="0000FF"/>
        </w:rPr>
        <w:t xml:space="preserve"> </w:t>
      </w:r>
      <w:r>
        <w:rPr>
          <w:rFonts w:ascii="Times New Roman Italic" w:hAnsi="Times New Roman Italic"/>
          <w:color w:val="0000FF"/>
          <w:u w:val="single"/>
        </w:rPr>
        <w:t xml:space="preserve"> Civ. Code, § 1625</w:t>
      </w:r>
      <w:r>
        <w:rPr>
          <w:color w:val="000000"/>
        </w:rPr>
        <w:t>.</w:t>
      </w:r>
    </w:p>
    <w:p w:rsidR="00491B30" w:rsidRDefault="00491B30">
      <w:pPr>
        <w:spacing w:line="219" w:lineRule="exact"/>
        <w:ind w:left="898"/>
        <w:jc w:val="both"/>
        <w:rPr>
          <w:color w:val="000000"/>
        </w:rPr>
      </w:pPr>
    </w:p>
    <w:p w:rsidR="00491B30" w:rsidRDefault="00BA5DC6">
      <w:pPr>
        <w:spacing w:before="46" w:line="219" w:lineRule="exact"/>
        <w:ind w:left="1098" w:right="151"/>
        <w:jc w:val="both"/>
        <w:rPr>
          <w:color w:val="000000"/>
          <w:sz w:val="20"/>
        </w:rPr>
      </w:pPr>
      <w:r>
        <w:rPr>
          <w:color w:val="000000"/>
          <w:sz w:val="20"/>
        </w:rPr>
        <w:t>Contracts Law &gt; Contract Interpretation &gt; Parol Evi-</w:t>
      </w:r>
      <w:r>
        <w:rPr>
          <w:color w:val="000000"/>
          <w:sz w:val="20"/>
        </w:rPr>
        <w:br/>
        <w:t>dence &gt; General Overview</w:t>
      </w:r>
    </w:p>
    <w:p w:rsidR="00491B30" w:rsidRDefault="00BA5DC6">
      <w:pPr>
        <w:spacing w:before="1" w:line="219" w:lineRule="exact"/>
        <w:ind w:left="1098" w:right="495"/>
        <w:jc w:val="both"/>
        <w:rPr>
          <w:color w:val="000000"/>
          <w:spacing w:val="-1"/>
          <w:sz w:val="20"/>
        </w:rPr>
      </w:pPr>
      <w:r>
        <w:rPr>
          <w:color w:val="000000"/>
          <w:sz w:val="20"/>
        </w:rPr>
        <w:t xml:space="preserve">Contracts Law &gt; Procedural Matters &gt; Statute of </w:t>
      </w:r>
      <w:r>
        <w:rPr>
          <w:color w:val="000000"/>
          <w:spacing w:val="-1"/>
          <w:sz w:val="20"/>
        </w:rPr>
        <w:t>Frauds &gt; General Overview</w:t>
      </w:r>
    </w:p>
    <w:p w:rsidR="00491B30" w:rsidRDefault="00BA5DC6">
      <w:pPr>
        <w:spacing w:before="192" w:line="259" w:lineRule="exact"/>
        <w:ind w:left="898" w:right="45"/>
        <w:jc w:val="both"/>
        <w:rPr>
          <w:color w:val="000000"/>
        </w:rPr>
      </w:pPr>
      <w:r>
        <w:rPr>
          <w:rFonts w:ascii="Times New Roman Bold Italic" w:hAnsi="Times New Roman Bold Italic"/>
          <w:color w:val="000000"/>
        </w:rPr>
        <w:t>HN5</w:t>
      </w:r>
      <w:r>
        <w:rPr>
          <w:color w:val="000000"/>
        </w:rPr>
        <w:t xml:space="preserve"> Although the parol evidence rule results </w:t>
      </w:r>
      <w:r>
        <w:rPr>
          <w:color w:val="000000"/>
          <w:w w:val="102"/>
        </w:rPr>
        <w:t xml:space="preserve">in the exclusion of evidence, it is not a rule of </w:t>
      </w:r>
      <w:r>
        <w:rPr>
          <w:color w:val="000000"/>
        </w:rPr>
        <w:t>evidence but one of substantive law. It is</w:t>
      </w:r>
    </w:p>
    <w:p w:rsidR="00491B30" w:rsidRDefault="00BA5DC6">
      <w:pPr>
        <w:spacing w:line="259" w:lineRule="exact"/>
        <w:ind w:left="898" w:right="6"/>
        <w:jc w:val="both"/>
        <w:rPr>
          <w:color w:val="000000"/>
          <w:spacing w:val="-1"/>
        </w:rPr>
      </w:pPr>
      <w:r>
        <w:rPr>
          <w:color w:val="000000"/>
        </w:rPr>
        <w:t xml:space="preserve">founded on the principle that when the parties </w:t>
      </w:r>
      <w:r>
        <w:rPr>
          <w:color w:val="000000"/>
          <w:w w:val="102"/>
        </w:rPr>
        <w:t xml:space="preserve">put all the terms of their agreement in writing, </w:t>
      </w:r>
      <w:r>
        <w:rPr>
          <w:color w:val="000000"/>
        </w:rPr>
        <w:t xml:space="preserve">the writing itself becomes the agreement. The </w:t>
      </w:r>
      <w:r>
        <w:rPr>
          <w:color w:val="000000"/>
          <w:w w:val="102"/>
        </w:rPr>
        <w:t>written terms supersede statements made dur-</w:t>
      </w:r>
      <w:r>
        <w:rPr>
          <w:color w:val="000000"/>
          <w:w w:val="102"/>
        </w:rPr>
        <w:br/>
      </w:r>
      <w:r>
        <w:rPr>
          <w:color w:val="000000"/>
          <w:spacing w:val="-1"/>
        </w:rPr>
        <w:t>ing the negotiations. Extrinsic evidence of</w:t>
      </w:r>
    </w:p>
    <w:p w:rsidR="00491B30" w:rsidRDefault="00BA5DC6">
      <w:pPr>
        <w:spacing w:before="1" w:line="259" w:lineRule="exact"/>
        <w:ind w:left="898"/>
        <w:jc w:val="both"/>
        <w:rPr>
          <w:color w:val="000000"/>
          <w:w w:val="101"/>
        </w:rPr>
      </w:pPr>
      <w:r>
        <w:rPr>
          <w:color w:val="000000"/>
          <w:spacing w:val="-4"/>
        </w:rPr>
        <w:t xml:space="preserve">the agreement’s terms is </w:t>
      </w:r>
      <w:r>
        <w:rPr>
          <w:color w:val="000000"/>
          <w:spacing w:val="-4"/>
        </w:rPr>
        <w:t>thus irrelevant, and can-</w:t>
      </w:r>
      <w:r>
        <w:rPr>
          <w:color w:val="000000"/>
          <w:spacing w:val="-4"/>
        </w:rPr>
        <w:br/>
      </w:r>
      <w:r>
        <w:rPr>
          <w:color w:val="000000"/>
          <w:spacing w:val="-3"/>
        </w:rPr>
        <w:t>not be relied upon. The parol evidence rule, un-</w:t>
      </w:r>
      <w:r>
        <w:rPr>
          <w:color w:val="000000"/>
          <w:spacing w:val="-3"/>
        </w:rPr>
        <w:br/>
      </w:r>
      <w:r>
        <w:rPr>
          <w:color w:val="000000"/>
          <w:w w:val="101"/>
        </w:rPr>
        <w:t>like the statute of frauds, does not merely</w:t>
      </w:r>
    </w:p>
    <w:p w:rsidR="00491B30" w:rsidRDefault="00BA5DC6">
      <w:pPr>
        <w:spacing w:before="1" w:line="259" w:lineRule="exact"/>
        <w:ind w:left="898" w:right="71"/>
        <w:jc w:val="both"/>
        <w:rPr>
          <w:color w:val="000000"/>
          <w:spacing w:val="-1"/>
        </w:rPr>
      </w:pPr>
      <w:r>
        <w:rPr>
          <w:color w:val="000000"/>
        </w:rPr>
        <w:t xml:space="preserve">serve an evidentiary purpose; it determines the </w:t>
      </w:r>
      <w:r>
        <w:rPr>
          <w:color w:val="000000"/>
          <w:spacing w:val="-1"/>
        </w:rPr>
        <w:t>enforceable and incontrovertible terms of an</w:t>
      </w:r>
    </w:p>
    <w:p w:rsidR="00491B30" w:rsidRDefault="00BA5DC6">
      <w:pPr>
        <w:spacing w:line="259" w:lineRule="exact"/>
        <w:ind w:left="5807"/>
        <w:jc w:val="both"/>
        <w:rPr>
          <w:color w:val="000000"/>
          <w:spacing w:val="-1"/>
        </w:rPr>
      </w:pPr>
      <w:r>
        <w:rPr>
          <w:color w:val="000000"/>
          <w:spacing w:val="-1"/>
        </w:rPr>
        <w:br w:type="column"/>
      </w:r>
    </w:p>
    <w:p w:rsidR="00491B30" w:rsidRDefault="00491B30">
      <w:pPr>
        <w:spacing w:line="259" w:lineRule="exact"/>
        <w:ind w:left="5807"/>
        <w:jc w:val="both"/>
        <w:rPr>
          <w:color w:val="000000"/>
          <w:spacing w:val="-1"/>
        </w:rPr>
      </w:pPr>
    </w:p>
    <w:p w:rsidR="00491B30" w:rsidRDefault="00BA5DC6">
      <w:pPr>
        <w:spacing w:before="22" w:line="259" w:lineRule="exact"/>
        <w:ind w:left="20" w:right="639"/>
        <w:jc w:val="both"/>
        <w:rPr>
          <w:color w:val="000000"/>
        </w:rPr>
      </w:pPr>
      <w:r>
        <w:rPr>
          <w:color w:val="000000"/>
          <w:spacing w:val="-1"/>
        </w:rPr>
        <w:t>integrated written agreement. The purpose</w:t>
      </w:r>
      <w:r>
        <w:rPr>
          <w:color w:val="000000"/>
          <w:spacing w:val="-1"/>
        </w:rPr>
        <w:t xml:space="preserve"> of </w:t>
      </w:r>
      <w:r>
        <w:rPr>
          <w:color w:val="000000"/>
          <w:spacing w:val="-2"/>
        </w:rPr>
        <w:t>the rule is to ensure that the parties’ final under-</w:t>
      </w:r>
      <w:r>
        <w:rPr>
          <w:color w:val="000000"/>
          <w:spacing w:val="-2"/>
        </w:rPr>
        <w:br/>
      </w:r>
      <w:r>
        <w:rPr>
          <w:color w:val="000000"/>
          <w:spacing w:val="-1"/>
        </w:rPr>
        <w:t xml:space="preserve">standing, deliberately expressed in writing, is </w:t>
      </w:r>
      <w:r>
        <w:rPr>
          <w:color w:val="000000"/>
        </w:rPr>
        <w:t>not subject to change.</w:t>
      </w:r>
    </w:p>
    <w:p w:rsidR="00491B30" w:rsidRDefault="00491B30">
      <w:pPr>
        <w:spacing w:line="219" w:lineRule="exact"/>
        <w:ind w:left="6007"/>
        <w:jc w:val="both"/>
        <w:rPr>
          <w:color w:val="000000"/>
        </w:rPr>
      </w:pPr>
    </w:p>
    <w:p w:rsidR="00491B30" w:rsidRDefault="00BA5DC6">
      <w:pPr>
        <w:spacing w:before="50" w:line="219" w:lineRule="exact"/>
        <w:ind w:left="220" w:right="801"/>
        <w:jc w:val="both"/>
        <w:rPr>
          <w:color w:val="000000"/>
          <w:sz w:val="20"/>
        </w:rPr>
      </w:pPr>
      <w:r>
        <w:rPr>
          <w:color w:val="000000"/>
          <w:sz w:val="20"/>
        </w:rPr>
        <w:t>Contracts Law &gt; Contract Interpretation &gt; Parol Evi-</w:t>
      </w:r>
      <w:r>
        <w:rPr>
          <w:color w:val="000000"/>
          <w:sz w:val="20"/>
        </w:rPr>
        <w:br/>
        <w:t>dence &gt; General Overview</w:t>
      </w:r>
    </w:p>
    <w:p w:rsidR="00491B30" w:rsidRDefault="00BA5DC6">
      <w:pPr>
        <w:spacing w:before="192" w:line="259" w:lineRule="exact"/>
        <w:ind w:left="20" w:right="708"/>
        <w:rPr>
          <w:color w:val="000000"/>
        </w:rPr>
      </w:pPr>
      <w:r>
        <w:rPr>
          <w:rFonts w:ascii="Times New Roman Bold Italic" w:hAnsi="Times New Roman Bold Italic"/>
          <w:color w:val="000000"/>
        </w:rPr>
        <w:t>HN6</w:t>
      </w:r>
      <w:r>
        <w:rPr>
          <w:rFonts w:ascii="Times New Roman Italic" w:hAnsi="Times New Roman Italic"/>
          <w:color w:val="0000FF"/>
        </w:rPr>
        <w:t xml:space="preserve"> </w:t>
      </w:r>
      <w:r>
        <w:rPr>
          <w:rFonts w:ascii="Times New Roman Italic" w:hAnsi="Times New Roman Italic"/>
          <w:color w:val="0000FF"/>
          <w:u w:val="single"/>
        </w:rPr>
        <w:t xml:space="preserve"> Code Civ. Proc., § 1856, subd. (f)</w:t>
      </w:r>
      <w:r>
        <w:rPr>
          <w:color w:val="000000"/>
        </w:rPr>
        <w:t>, estab-</w:t>
      </w:r>
      <w:r>
        <w:rPr>
          <w:color w:val="000000"/>
        </w:rPr>
        <w:br/>
      </w:r>
      <w:r>
        <w:rPr>
          <w:color w:val="000000"/>
        </w:rPr>
        <w:t xml:space="preserve">lishes a broad exception to the operation of </w:t>
      </w:r>
      <w:r>
        <w:rPr>
          <w:color w:val="000000"/>
        </w:rPr>
        <w:br/>
        <w:t>the parol evidence rule. It provides that where</w:t>
      </w:r>
    </w:p>
    <w:p w:rsidR="00491B30" w:rsidRDefault="00BA5DC6">
      <w:pPr>
        <w:spacing w:line="259" w:lineRule="exact"/>
        <w:ind w:left="20" w:right="649"/>
        <w:jc w:val="both"/>
        <w:rPr>
          <w:color w:val="000000"/>
        </w:rPr>
      </w:pPr>
      <w:r>
        <w:rPr>
          <w:color w:val="000000"/>
          <w:w w:val="103"/>
        </w:rPr>
        <w:t>the validity of the agreement is the fact in dis-</w:t>
      </w:r>
      <w:r>
        <w:rPr>
          <w:color w:val="000000"/>
          <w:w w:val="103"/>
        </w:rPr>
        <w:br/>
      </w:r>
      <w:r>
        <w:rPr>
          <w:color w:val="000000"/>
        </w:rPr>
        <w:t>pute,</w:t>
      </w:r>
      <w:r>
        <w:rPr>
          <w:rFonts w:ascii="Times New Roman Italic" w:hAnsi="Times New Roman Italic"/>
          <w:color w:val="0000FF"/>
        </w:rPr>
        <w:t xml:space="preserve"> </w:t>
      </w:r>
      <w:r>
        <w:rPr>
          <w:rFonts w:ascii="Times New Roman Italic" w:hAnsi="Times New Roman Italic"/>
          <w:color w:val="0000FF"/>
          <w:u w:val="single"/>
        </w:rPr>
        <w:t xml:space="preserve"> § 1856</w:t>
      </w:r>
      <w:r>
        <w:rPr>
          <w:color w:val="000000"/>
        </w:rPr>
        <w:t xml:space="preserve"> does not exclude evidence rel-</w:t>
      </w:r>
    </w:p>
    <w:p w:rsidR="00491B30" w:rsidRDefault="00BA5DC6">
      <w:pPr>
        <w:spacing w:line="259" w:lineRule="exact"/>
        <w:ind w:left="20" w:right="639"/>
        <w:rPr>
          <w:color w:val="000000"/>
        </w:rPr>
      </w:pPr>
      <w:r>
        <w:rPr>
          <w:color w:val="000000"/>
          <w:w w:val="101"/>
        </w:rPr>
        <w:t xml:space="preserve">evant to that issue. This provision rests on the </w:t>
      </w:r>
      <w:r>
        <w:rPr>
          <w:color w:val="000000"/>
          <w:w w:val="101"/>
        </w:rPr>
        <w:br/>
      </w:r>
      <w:r>
        <w:rPr>
          <w:color w:val="000000"/>
          <w:spacing w:val="-4"/>
        </w:rPr>
        <w:t xml:space="preserve">principle that the parol evidence rule, intended to </w:t>
      </w:r>
      <w:r>
        <w:rPr>
          <w:color w:val="000000"/>
          <w:spacing w:val="-4"/>
        </w:rPr>
        <w:br/>
      </w:r>
      <w:r>
        <w:rPr>
          <w:color w:val="000000"/>
        </w:rPr>
        <w:t xml:space="preserve">protect the terms of a valid written contract, </w:t>
      </w:r>
      <w:r>
        <w:rPr>
          <w:color w:val="000000"/>
        </w:rPr>
        <w:br/>
        <w:t>should not bar evidence challenging the valid-</w:t>
      </w:r>
      <w:r>
        <w:rPr>
          <w:color w:val="000000"/>
        </w:rPr>
        <w:br/>
      </w:r>
      <w:r>
        <w:rPr>
          <w:color w:val="000000"/>
          <w:w w:val="105"/>
        </w:rPr>
        <w:t xml:space="preserve">ity of the agreement itself. Evidence to prove </w:t>
      </w:r>
      <w:r>
        <w:rPr>
          <w:color w:val="000000"/>
          <w:w w:val="105"/>
        </w:rPr>
        <w:br/>
      </w:r>
      <w:r>
        <w:rPr>
          <w:color w:val="000000"/>
          <w:spacing w:val="-1"/>
        </w:rPr>
        <w:t>that the instrument is void or voidable for mis-</w:t>
      </w:r>
      <w:r>
        <w:rPr>
          <w:color w:val="000000"/>
          <w:spacing w:val="-1"/>
        </w:rPr>
        <w:br/>
      </w:r>
      <w:r>
        <w:rPr>
          <w:color w:val="000000"/>
          <w:w w:val="102"/>
        </w:rPr>
        <w:t xml:space="preserve">take, fraud, duress, undue influence, illegality, </w:t>
      </w:r>
      <w:r>
        <w:rPr>
          <w:color w:val="000000"/>
          <w:w w:val="102"/>
        </w:rPr>
        <w:br/>
      </w:r>
      <w:r>
        <w:rPr>
          <w:color w:val="000000"/>
          <w:spacing w:val="-1"/>
        </w:rPr>
        <w:t>alteration, lack of consideration, or another in-</w:t>
      </w:r>
      <w:r>
        <w:rPr>
          <w:color w:val="000000"/>
          <w:spacing w:val="-1"/>
        </w:rPr>
        <w:br/>
      </w:r>
      <w:r>
        <w:rPr>
          <w:color w:val="000000"/>
          <w:w w:val="105"/>
        </w:rPr>
        <w:t xml:space="preserve">validating cause is admissible. This evidence </w:t>
      </w:r>
      <w:r>
        <w:rPr>
          <w:color w:val="000000"/>
          <w:w w:val="105"/>
        </w:rPr>
        <w:br/>
      </w:r>
      <w:r>
        <w:rPr>
          <w:color w:val="000000"/>
          <w:spacing w:val="-3"/>
        </w:rPr>
        <w:t>does not contradict the terms of an effective in-</w:t>
      </w:r>
      <w:r>
        <w:rPr>
          <w:color w:val="000000"/>
          <w:spacing w:val="-3"/>
        </w:rPr>
        <w:br/>
        <w:t>tegration, because it shows that the purported in-</w:t>
      </w:r>
      <w:r>
        <w:rPr>
          <w:color w:val="000000"/>
          <w:spacing w:val="-3"/>
        </w:rPr>
        <w:br/>
      </w:r>
      <w:r>
        <w:rPr>
          <w:color w:val="000000"/>
        </w:rPr>
        <w:t>strumen</w:t>
      </w:r>
      <w:r>
        <w:rPr>
          <w:color w:val="000000"/>
        </w:rPr>
        <w:t>t has no legal effect. The fraud excep-</w:t>
      </w:r>
      <w:r>
        <w:rPr>
          <w:color w:val="000000"/>
        </w:rPr>
        <w:br/>
      </w:r>
      <w:r>
        <w:rPr>
          <w:color w:val="000000"/>
          <w:w w:val="103"/>
        </w:rPr>
        <w:t>tion is expressly stated in</w:t>
      </w:r>
      <w:r>
        <w:rPr>
          <w:rFonts w:ascii="Times New Roman Italic" w:hAnsi="Times New Roman Italic"/>
          <w:color w:val="0000FF"/>
          <w:w w:val="103"/>
        </w:rPr>
        <w:t xml:space="preserve"> </w:t>
      </w:r>
      <w:r>
        <w:rPr>
          <w:rFonts w:ascii="Times New Roman Italic" w:hAnsi="Times New Roman Italic"/>
          <w:color w:val="0000FF"/>
          <w:w w:val="103"/>
          <w:u w:val="single"/>
        </w:rPr>
        <w:t xml:space="preserve"> § 1856, subd. (g)</w:t>
      </w:r>
      <w:r>
        <w:rPr>
          <w:color w:val="000000"/>
          <w:w w:val="103"/>
        </w:rPr>
        <w:t xml:space="preserve">. It </w:t>
      </w:r>
      <w:r>
        <w:rPr>
          <w:color w:val="000000"/>
          <w:w w:val="103"/>
        </w:rPr>
        <w:br/>
      </w:r>
      <w:r>
        <w:rPr>
          <w:color w:val="000000"/>
          <w:spacing w:val="-1"/>
        </w:rPr>
        <w:t>provides that 1856 does not exclude other evi-</w:t>
      </w:r>
      <w:r>
        <w:rPr>
          <w:color w:val="000000"/>
          <w:spacing w:val="-1"/>
        </w:rPr>
        <w:br/>
      </w:r>
      <w:r>
        <w:rPr>
          <w:color w:val="000000"/>
        </w:rPr>
        <w:t>dence to establish fraud.</w:t>
      </w:r>
    </w:p>
    <w:p w:rsidR="00491B30" w:rsidRDefault="00491B30">
      <w:pPr>
        <w:spacing w:line="230" w:lineRule="exact"/>
        <w:ind w:left="5807"/>
        <w:rPr>
          <w:color w:val="000000"/>
        </w:rPr>
      </w:pPr>
    </w:p>
    <w:p w:rsidR="00491B30" w:rsidRDefault="00BA5DC6">
      <w:pPr>
        <w:spacing w:before="29" w:line="230" w:lineRule="exact"/>
        <w:ind w:left="220"/>
        <w:rPr>
          <w:color w:val="000000"/>
          <w:sz w:val="20"/>
        </w:rPr>
      </w:pPr>
      <w:r>
        <w:rPr>
          <w:color w:val="000000"/>
          <w:sz w:val="20"/>
        </w:rPr>
        <w:t>Governments &gt; Courts &gt; Judicial Precedent</w:t>
      </w:r>
    </w:p>
    <w:p w:rsidR="00491B30" w:rsidRDefault="00BA5DC6">
      <w:pPr>
        <w:spacing w:before="191" w:line="259" w:lineRule="exact"/>
        <w:ind w:left="20" w:right="655"/>
        <w:rPr>
          <w:color w:val="000000"/>
          <w:w w:val="101"/>
        </w:rPr>
      </w:pPr>
      <w:r>
        <w:rPr>
          <w:rFonts w:ascii="Times New Roman Bold Italic" w:hAnsi="Times New Roman Bold Italic"/>
          <w:color w:val="000000"/>
        </w:rPr>
        <w:t>HN8</w:t>
      </w:r>
      <w:r>
        <w:rPr>
          <w:color w:val="000000"/>
        </w:rPr>
        <w:t xml:space="preserve"> The doctrine of stare decisis expresses a </w:t>
      </w:r>
      <w:r>
        <w:rPr>
          <w:color w:val="000000"/>
        </w:rPr>
        <w:br/>
      </w:r>
      <w:r>
        <w:rPr>
          <w:color w:val="000000"/>
        </w:rPr>
        <w:t xml:space="preserve">fundamental policy that a rule once declared in </w:t>
      </w:r>
      <w:r>
        <w:rPr>
          <w:color w:val="000000"/>
        </w:rPr>
        <w:br/>
      </w:r>
      <w:r>
        <w:rPr>
          <w:color w:val="000000"/>
          <w:spacing w:val="-1"/>
        </w:rPr>
        <w:t xml:space="preserve">an appellate decision constitutes a precedent </w:t>
      </w:r>
      <w:r>
        <w:rPr>
          <w:color w:val="000000"/>
          <w:spacing w:val="-1"/>
        </w:rPr>
        <w:br/>
      </w:r>
      <w:r>
        <w:rPr>
          <w:color w:val="000000"/>
        </w:rPr>
        <w:t xml:space="preserve">which should normally be followed. It is based </w:t>
      </w:r>
      <w:r>
        <w:rPr>
          <w:color w:val="000000"/>
        </w:rPr>
        <w:br/>
      </w:r>
      <w:r>
        <w:rPr>
          <w:color w:val="000000"/>
          <w:spacing w:val="-1"/>
        </w:rPr>
        <w:t>on the assumption that certainty, predictabil-</w:t>
      </w:r>
      <w:r>
        <w:rPr>
          <w:color w:val="000000"/>
          <w:spacing w:val="-1"/>
        </w:rPr>
        <w:br/>
      </w:r>
      <w:r>
        <w:rPr>
          <w:color w:val="000000"/>
          <w:w w:val="101"/>
        </w:rPr>
        <w:t>ity and stability in the law are the major objec-</w:t>
      </w:r>
      <w:r>
        <w:rPr>
          <w:color w:val="000000"/>
          <w:w w:val="101"/>
        </w:rPr>
        <w:br/>
        <w:t>tives of the le</w:t>
      </w:r>
      <w:r>
        <w:rPr>
          <w:color w:val="000000"/>
          <w:w w:val="101"/>
        </w:rPr>
        <w:t>gal system. But it equally is</w:t>
      </w:r>
    </w:p>
    <w:p w:rsidR="00491B30" w:rsidRDefault="00BA5DC6">
      <w:pPr>
        <w:spacing w:line="259" w:lineRule="exact"/>
        <w:ind w:left="20" w:right="639"/>
        <w:rPr>
          <w:color w:val="000000"/>
          <w:spacing w:val="-1"/>
        </w:rPr>
      </w:pPr>
      <w:r>
        <w:rPr>
          <w:color w:val="000000"/>
          <w:w w:val="101"/>
        </w:rPr>
        <w:t xml:space="preserve">true that stare decisis is a principle of policy </w:t>
      </w:r>
      <w:r>
        <w:rPr>
          <w:color w:val="000000"/>
          <w:w w:val="101"/>
        </w:rPr>
        <w:br/>
      </w:r>
      <w:r>
        <w:rPr>
          <w:color w:val="000000"/>
        </w:rPr>
        <w:t xml:space="preserve">and not a mechanical formula of adherence to </w:t>
      </w:r>
      <w:r>
        <w:rPr>
          <w:color w:val="000000"/>
        </w:rPr>
        <w:br/>
      </w:r>
      <w:r>
        <w:rPr>
          <w:color w:val="000000"/>
          <w:spacing w:val="-3"/>
        </w:rPr>
        <w:t>the latest decision, however recent and question-</w:t>
      </w:r>
      <w:r>
        <w:rPr>
          <w:color w:val="000000"/>
          <w:spacing w:val="-3"/>
        </w:rPr>
        <w:br/>
      </w:r>
      <w:r>
        <w:rPr>
          <w:color w:val="000000"/>
          <w:spacing w:val="-1"/>
        </w:rPr>
        <w:t xml:space="preserve">able, when such adherence involves collision </w:t>
      </w:r>
      <w:r>
        <w:rPr>
          <w:color w:val="000000"/>
          <w:spacing w:val="-1"/>
        </w:rPr>
        <w:br/>
      </w:r>
      <w:r>
        <w:rPr>
          <w:color w:val="000000"/>
          <w:w w:val="107"/>
        </w:rPr>
        <w:t>with a prior doctrine more embraci</w:t>
      </w:r>
      <w:r>
        <w:rPr>
          <w:color w:val="000000"/>
          <w:w w:val="107"/>
        </w:rPr>
        <w:t xml:space="preserve">ng in its </w:t>
      </w:r>
      <w:r>
        <w:rPr>
          <w:color w:val="000000"/>
          <w:w w:val="107"/>
        </w:rPr>
        <w:br/>
      </w:r>
      <w:r>
        <w:rPr>
          <w:color w:val="000000"/>
          <w:spacing w:val="-1"/>
        </w:rPr>
        <w:t>scope, intrinsically sounder, and verified by ex-</w:t>
      </w:r>
      <w:r>
        <w:rPr>
          <w:color w:val="000000"/>
          <w:spacing w:val="-1"/>
        </w:rPr>
        <w:br/>
        <w:t>perience. Although the doctrine of stare deci-</w:t>
      </w:r>
      <w:r>
        <w:rPr>
          <w:color w:val="000000"/>
          <w:spacing w:val="-1"/>
        </w:rPr>
        <w:br/>
      </w:r>
      <w:r>
        <w:rPr>
          <w:color w:val="000000"/>
          <w:spacing w:val="-2"/>
        </w:rPr>
        <w:t>sis does indeed serve important values, it never-</w:t>
      </w:r>
      <w:r>
        <w:rPr>
          <w:color w:val="000000"/>
          <w:spacing w:val="-2"/>
        </w:rPr>
        <w:br/>
      </w:r>
      <w:r>
        <w:rPr>
          <w:color w:val="000000"/>
          <w:spacing w:val="-1"/>
        </w:rPr>
        <w:t>theless should not shield court-created error</w:t>
      </w:r>
    </w:p>
    <w:p w:rsidR="00491B30" w:rsidRDefault="00BA5DC6">
      <w:pPr>
        <w:spacing w:line="259" w:lineRule="exact"/>
        <w:ind w:left="20"/>
        <w:rPr>
          <w:color w:val="000000"/>
          <w:spacing w:val="-2"/>
        </w:rPr>
      </w:pPr>
      <w:r>
        <w:rPr>
          <w:color w:val="000000"/>
          <w:spacing w:val="-2"/>
        </w:rPr>
        <w:t>from correction.</w:t>
      </w:r>
    </w:p>
    <w:p w:rsidR="00491B30" w:rsidRDefault="00491B30">
      <w:pPr>
        <w:spacing w:line="230" w:lineRule="exact"/>
        <w:ind w:left="6007"/>
        <w:rPr>
          <w:color w:val="000000"/>
          <w:spacing w:val="-2"/>
        </w:rPr>
      </w:pPr>
    </w:p>
    <w:p w:rsidR="00491B30" w:rsidRDefault="00BA5DC6">
      <w:pPr>
        <w:spacing w:before="29" w:line="230" w:lineRule="exact"/>
        <w:ind w:left="220"/>
        <w:rPr>
          <w:color w:val="000000"/>
          <w:sz w:val="20"/>
        </w:rPr>
      </w:pPr>
      <w:r>
        <w:rPr>
          <w:color w:val="000000"/>
          <w:sz w:val="20"/>
        </w:rPr>
        <w:t>Governments &gt; Courts &gt;</w:t>
      </w:r>
      <w:r>
        <w:rPr>
          <w:color w:val="000000"/>
          <w:sz w:val="20"/>
        </w:rPr>
        <w:t xml:space="preserve"> Judicial Precedent </w:t>
      </w:r>
    </w:p>
    <w:p w:rsidR="00491B30" w:rsidRDefault="00491B30">
      <w:pPr>
        <w:rPr>
          <w:color w:val="000000"/>
          <w:sz w:val="20"/>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30" w:lineRule="exact"/>
        <w:ind w:left="5183"/>
        <w:rPr>
          <w:color w:val="000000"/>
          <w:sz w:val="20"/>
        </w:rPr>
      </w:pPr>
    </w:p>
    <w:p w:rsidR="00491B30" w:rsidRDefault="00BA5DC6">
      <w:pPr>
        <w:spacing w:before="120" w:line="230" w:lineRule="exact"/>
        <w:ind w:left="5183"/>
        <w:rPr>
          <w:color w:val="000000"/>
          <w:spacing w:val="-1"/>
          <w:sz w:val="20"/>
        </w:rPr>
      </w:pPr>
      <w:r>
        <w:rPr>
          <w:color w:val="000000"/>
          <w:spacing w:val="-1"/>
          <w:sz w:val="20"/>
        </w:rPr>
        <w:t xml:space="preserve">Charles Cox </w:t>
      </w:r>
      <w:r>
        <w:rPr>
          <w:color w:val="000000"/>
          <w:spacing w:val="-1"/>
          <w:sz w:val="20"/>
        </w:rPr>
        <w:pict>
          <v:line id="_x0000_s1087" style="position:absolute;left:0;text-align:left;z-index:-251646976;mso-position-horizontal-relative:page;mso-position-vertical-relative:page" from="66.5pt,127.05pt" to="301pt,127.05pt" o:allowincell="f" strokeweight="1.5pt">
            <w10:wrap anchorx="page" anchory="page"/>
          </v:line>
        </w:pict>
      </w:r>
      <w:r>
        <w:rPr>
          <w:color w:val="000000"/>
          <w:spacing w:val="-1"/>
          <w:sz w:val="20"/>
        </w:rPr>
        <w:pict>
          <v:line id="_x0000_s1088" style="position:absolute;left:0;text-align:left;z-index:-251643904;mso-position-horizontal-relative:page;mso-position-vertical-relative:page" from="300pt,133.95pt" to="301pt,133.95pt" o:allowincell="f" strokeweight="14.22pt">
            <w10:wrap anchorx="page" anchory="page"/>
          </v:line>
        </w:pict>
      </w:r>
      <w:r>
        <w:rPr>
          <w:color w:val="000000"/>
          <w:spacing w:val="-1"/>
          <w:sz w:val="20"/>
        </w:rPr>
        <w:pict>
          <v:line id="_x0000_s1089" style="position:absolute;left:0;text-align:left;z-index:-251640832;mso-position-horizontal-relative:page;mso-position-vertical-relative:page" from="66.5pt,140.8pt" to="301pt,140.8pt" o:allowincell="f" strokeweight="1.5pt">
            <w10:wrap anchorx="page" anchory="page"/>
          </v:line>
        </w:pict>
      </w:r>
      <w:r>
        <w:rPr>
          <w:color w:val="000000"/>
          <w:spacing w:val="-1"/>
          <w:sz w:val="20"/>
        </w:rPr>
        <w:pict>
          <v:line id="_x0000_s1090" style="position:absolute;left:0;text-align:left;z-index:-251637760;mso-position-horizontal-relative:page;mso-position-vertical-relative:page" from="66.5pt,133.95pt" to="67.5pt,133.95pt" o:allowincell="f" strokeweight="14.22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83"/>
        <w:rPr>
          <w:color w:val="000000"/>
          <w:sz w:val="20"/>
        </w:rPr>
      </w:pPr>
      <w:bookmarkStart w:id="3" w:name="Pg4"/>
      <w:bookmarkEnd w:id="3"/>
      <w:r>
        <w:rPr>
          <w:color w:val="000000"/>
          <w:sz w:val="20"/>
        </w:rPr>
        <w:lastRenderedPageBreak/>
        <w:t>55 Cal. 4th 1169, *1169; 2013 Cal. LEXIS 253, **1</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59" w:lineRule="exact"/>
        <w:ind w:left="898"/>
        <w:rPr>
          <w:color w:val="000000"/>
          <w:sz w:val="20"/>
        </w:rPr>
      </w:pPr>
    </w:p>
    <w:p w:rsidR="00491B30" w:rsidRDefault="00491B30">
      <w:pPr>
        <w:spacing w:line="259" w:lineRule="exact"/>
        <w:ind w:left="898"/>
        <w:rPr>
          <w:color w:val="000000"/>
          <w:sz w:val="20"/>
        </w:rPr>
      </w:pPr>
    </w:p>
    <w:p w:rsidR="00491B30" w:rsidRDefault="00BA5DC6">
      <w:pPr>
        <w:spacing w:before="22" w:line="259" w:lineRule="exact"/>
        <w:ind w:left="898" w:right="84"/>
        <w:rPr>
          <w:color w:val="000000"/>
          <w:spacing w:val="-3"/>
        </w:rPr>
      </w:pPr>
      <w:r>
        <w:rPr>
          <w:rFonts w:ascii="Times New Roman Bold Italic" w:hAnsi="Times New Roman Bold Italic"/>
          <w:color w:val="000000"/>
        </w:rPr>
        <w:t>HN7</w:t>
      </w:r>
      <w:r>
        <w:rPr>
          <w:color w:val="000000"/>
        </w:rPr>
        <w:t xml:space="preserve"> If a decision departed from an estab-</w:t>
      </w:r>
      <w:r>
        <w:rPr>
          <w:color w:val="000000"/>
        </w:rPr>
        <w:br/>
        <w:t>lished general rule without discussing the con-</w:t>
      </w:r>
      <w:r>
        <w:rPr>
          <w:color w:val="000000"/>
        </w:rPr>
        <w:br/>
        <w:t>trary authority,</w:t>
      </w:r>
      <w:r>
        <w:rPr>
          <w:color w:val="000000"/>
        </w:rPr>
        <w:t xml:space="preserve"> its weight as precedent is di-</w:t>
      </w:r>
      <w:r>
        <w:rPr>
          <w:color w:val="000000"/>
        </w:rPr>
        <w:br/>
      </w:r>
      <w:r>
        <w:rPr>
          <w:color w:val="000000"/>
          <w:spacing w:val="-3"/>
        </w:rPr>
        <w:t>minished.</w:t>
      </w:r>
    </w:p>
    <w:p w:rsidR="00491B30" w:rsidRDefault="00491B30">
      <w:pPr>
        <w:spacing w:line="219" w:lineRule="exact"/>
        <w:ind w:left="1098"/>
        <w:jc w:val="both"/>
        <w:rPr>
          <w:color w:val="000000"/>
          <w:spacing w:val="-3"/>
        </w:rPr>
      </w:pPr>
    </w:p>
    <w:p w:rsidR="00491B30" w:rsidRDefault="00BA5DC6">
      <w:pPr>
        <w:spacing w:before="50" w:line="219" w:lineRule="exact"/>
        <w:ind w:left="1098" w:right="362"/>
        <w:jc w:val="both"/>
        <w:rPr>
          <w:color w:val="000000"/>
          <w:sz w:val="20"/>
        </w:rPr>
      </w:pPr>
      <w:r>
        <w:rPr>
          <w:color w:val="000000"/>
          <w:sz w:val="20"/>
        </w:rPr>
        <w:t>Contracts Law &gt; Formation of Contracts &gt; Accep-</w:t>
      </w:r>
      <w:r>
        <w:rPr>
          <w:color w:val="000000"/>
          <w:sz w:val="20"/>
        </w:rPr>
        <w:br/>
        <w:t>tance &gt; Meeting of Minds</w:t>
      </w:r>
    </w:p>
    <w:p w:rsidR="00491B30" w:rsidRDefault="00BA5DC6">
      <w:pPr>
        <w:spacing w:before="1" w:line="219" w:lineRule="exact"/>
        <w:ind w:left="1098" w:right="471"/>
        <w:jc w:val="both"/>
        <w:rPr>
          <w:color w:val="000000"/>
          <w:sz w:val="20"/>
        </w:rPr>
      </w:pPr>
      <w:r>
        <w:rPr>
          <w:color w:val="000000"/>
          <w:spacing w:val="-1"/>
          <w:sz w:val="20"/>
        </w:rPr>
        <w:t>Torts &gt; Business Torts &gt; Fraud &amp; Misrepresenta-</w:t>
      </w:r>
      <w:r>
        <w:rPr>
          <w:color w:val="000000"/>
          <w:spacing w:val="-1"/>
          <w:sz w:val="20"/>
        </w:rPr>
        <w:br/>
      </w:r>
      <w:r>
        <w:rPr>
          <w:color w:val="000000"/>
          <w:sz w:val="20"/>
        </w:rPr>
        <w:t>tion &gt; General Overview</w:t>
      </w:r>
    </w:p>
    <w:p w:rsidR="00491B30" w:rsidRDefault="00BA5DC6">
      <w:pPr>
        <w:spacing w:before="192" w:line="259" w:lineRule="exact"/>
        <w:ind w:left="898" w:right="32"/>
        <w:rPr>
          <w:color w:val="000000"/>
          <w:spacing w:val="-1"/>
        </w:rPr>
      </w:pPr>
      <w:r>
        <w:rPr>
          <w:rFonts w:ascii="Times New Roman Bold Italic" w:hAnsi="Times New Roman Bold Italic"/>
          <w:color w:val="000000"/>
          <w:spacing w:val="-1"/>
        </w:rPr>
        <w:t>HN9</w:t>
      </w:r>
      <w:r>
        <w:rPr>
          <w:color w:val="000000"/>
          <w:spacing w:val="-1"/>
        </w:rPr>
        <w:t xml:space="preserve"> Fraud undermines the essential validity </w:t>
      </w:r>
      <w:r>
        <w:rPr>
          <w:color w:val="000000"/>
          <w:spacing w:val="-1"/>
        </w:rPr>
        <w:br/>
      </w:r>
      <w:r>
        <w:rPr>
          <w:color w:val="000000"/>
        </w:rPr>
        <w:t xml:space="preserve">of an agreement. When </w:t>
      </w:r>
      <w:r>
        <w:rPr>
          <w:color w:val="000000"/>
        </w:rPr>
        <w:t>fraud is proven, it can-</w:t>
      </w:r>
      <w:r>
        <w:rPr>
          <w:color w:val="000000"/>
        </w:rPr>
        <w:br/>
        <w:t>not be maintained that the parties freely en-</w:t>
      </w:r>
      <w:r>
        <w:rPr>
          <w:color w:val="000000"/>
        </w:rPr>
        <w:br/>
        <w:t xml:space="preserve">tered into an agreement reflecting a meeting of </w:t>
      </w:r>
      <w:r>
        <w:rPr>
          <w:color w:val="000000"/>
        </w:rPr>
        <w:br/>
      </w:r>
      <w:r>
        <w:rPr>
          <w:color w:val="000000"/>
          <w:spacing w:val="-1"/>
        </w:rPr>
        <w:t>the minds.</w:t>
      </w:r>
    </w:p>
    <w:p w:rsidR="00491B30" w:rsidRDefault="00491B30">
      <w:pPr>
        <w:spacing w:line="219" w:lineRule="exact"/>
        <w:ind w:left="898"/>
        <w:jc w:val="both"/>
        <w:rPr>
          <w:color w:val="000000"/>
          <w:spacing w:val="-1"/>
        </w:rPr>
      </w:pPr>
    </w:p>
    <w:p w:rsidR="00491B30" w:rsidRDefault="00BA5DC6">
      <w:pPr>
        <w:spacing w:before="50" w:line="219" w:lineRule="exact"/>
        <w:ind w:left="1098" w:right="151"/>
        <w:jc w:val="both"/>
        <w:rPr>
          <w:color w:val="000000"/>
          <w:sz w:val="20"/>
        </w:rPr>
      </w:pPr>
      <w:r>
        <w:rPr>
          <w:color w:val="000000"/>
          <w:sz w:val="20"/>
        </w:rPr>
        <w:t>Contracts Law &gt; Contract Interpretation &gt; Parol Evi-</w:t>
      </w:r>
      <w:r>
        <w:rPr>
          <w:color w:val="000000"/>
          <w:sz w:val="20"/>
        </w:rPr>
        <w:br/>
        <w:t>dence &gt; General Overview</w:t>
      </w:r>
    </w:p>
    <w:p w:rsidR="00491B30" w:rsidRDefault="00BA5DC6">
      <w:pPr>
        <w:spacing w:before="192" w:line="259" w:lineRule="exact"/>
        <w:ind w:left="898"/>
        <w:rPr>
          <w:color w:val="000000"/>
        </w:rPr>
      </w:pPr>
      <w:r>
        <w:rPr>
          <w:rFonts w:ascii="Times New Roman Bold Italic" w:hAnsi="Times New Roman Bold Italic"/>
          <w:color w:val="000000"/>
        </w:rPr>
        <w:t>HN10</w:t>
      </w:r>
      <w:r>
        <w:rPr>
          <w:rFonts w:ascii="Times New Roman Italic" w:hAnsi="Times New Roman Italic"/>
          <w:color w:val="0000FF"/>
        </w:rPr>
        <w:t xml:space="preserve"> </w:t>
      </w:r>
      <w:r>
        <w:rPr>
          <w:rFonts w:ascii="Times New Roman Italic" w:hAnsi="Times New Roman Italic"/>
          <w:color w:val="0000FF"/>
          <w:u w:val="single"/>
        </w:rPr>
        <w:t xml:space="preserve"> Bank of America etc. Assn. v. Pender-</w:t>
      </w:r>
      <w:r>
        <w:rPr>
          <w:rFonts w:ascii="Times New Roman Italic" w:hAnsi="Times New Roman Italic"/>
          <w:color w:val="0000FF"/>
          <w:u w:val="single"/>
        </w:rPr>
        <w:br/>
      </w:r>
      <w:r>
        <w:rPr>
          <w:rFonts w:ascii="Times New Roman Italic" w:hAnsi="Times New Roman Italic"/>
          <w:color w:val="0000FF"/>
          <w:spacing w:val="-1"/>
          <w:u w:val="single"/>
        </w:rPr>
        <w:t>gr</w:t>
      </w:r>
      <w:r>
        <w:rPr>
          <w:rFonts w:ascii="Times New Roman Italic" w:hAnsi="Times New Roman Italic"/>
          <w:color w:val="0000FF"/>
          <w:spacing w:val="-1"/>
          <w:u w:val="single"/>
        </w:rPr>
        <w:t>ass, 4 Cal. 2d 258 (1935)</w:t>
      </w:r>
      <w:r>
        <w:rPr>
          <w:color w:val="000000"/>
          <w:spacing w:val="-1"/>
        </w:rPr>
        <w:t xml:space="preserve">, and its progeny are </w:t>
      </w:r>
      <w:r>
        <w:rPr>
          <w:color w:val="000000"/>
          <w:spacing w:val="-1"/>
        </w:rPr>
        <w:br/>
        <w:t xml:space="preserve">disapproved, and the venerable maxim stated </w:t>
      </w:r>
      <w:r>
        <w:rPr>
          <w:color w:val="000000"/>
          <w:spacing w:val="-1"/>
        </w:rPr>
        <w:br/>
      </w:r>
      <w:r>
        <w:rPr>
          <w:color w:val="000000"/>
        </w:rPr>
        <w:t xml:space="preserve">in Ferguson v. Koch is reaffirmed: It was never </w:t>
      </w:r>
      <w:r>
        <w:rPr>
          <w:color w:val="000000"/>
        </w:rPr>
        <w:br/>
        <w:t>intended that the parol evidence rule should</w:t>
      </w:r>
    </w:p>
    <w:p w:rsidR="00491B30" w:rsidRDefault="00BA5DC6">
      <w:pPr>
        <w:spacing w:line="259" w:lineRule="exact"/>
        <w:ind w:left="898"/>
        <w:rPr>
          <w:color w:val="000000"/>
          <w:spacing w:val="-5"/>
        </w:rPr>
      </w:pPr>
      <w:r>
        <w:rPr>
          <w:color w:val="000000"/>
          <w:spacing w:val="-5"/>
        </w:rPr>
        <w:t>be used as a shield to prevent the proof of fraud.</w:t>
      </w:r>
    </w:p>
    <w:p w:rsidR="00491B30" w:rsidRDefault="00491B30">
      <w:pPr>
        <w:spacing w:line="219" w:lineRule="exact"/>
        <w:ind w:left="1098"/>
        <w:jc w:val="both"/>
        <w:rPr>
          <w:color w:val="000000"/>
          <w:spacing w:val="-5"/>
        </w:rPr>
      </w:pPr>
    </w:p>
    <w:p w:rsidR="00491B30" w:rsidRDefault="00BA5DC6">
      <w:pPr>
        <w:spacing w:before="50" w:line="219" w:lineRule="exact"/>
        <w:ind w:left="1098" w:right="495"/>
        <w:jc w:val="both"/>
        <w:rPr>
          <w:color w:val="000000"/>
          <w:spacing w:val="-1"/>
          <w:sz w:val="20"/>
        </w:rPr>
      </w:pPr>
      <w:r>
        <w:rPr>
          <w:color w:val="000000"/>
          <w:sz w:val="20"/>
        </w:rPr>
        <w:t>Contracts Law &gt;</w:t>
      </w:r>
      <w:r>
        <w:rPr>
          <w:color w:val="000000"/>
          <w:sz w:val="20"/>
        </w:rPr>
        <w:t xml:space="preserve"> Procedural Matters &gt; Statute of </w:t>
      </w:r>
      <w:r>
        <w:rPr>
          <w:color w:val="000000"/>
          <w:spacing w:val="-1"/>
          <w:sz w:val="20"/>
        </w:rPr>
        <w:t>Frauds &gt; General Overview</w:t>
      </w:r>
    </w:p>
    <w:p w:rsidR="00491B30" w:rsidRDefault="00BA5DC6">
      <w:pPr>
        <w:spacing w:line="219" w:lineRule="exact"/>
        <w:ind w:left="1098" w:right="471"/>
        <w:jc w:val="both"/>
        <w:rPr>
          <w:color w:val="000000"/>
          <w:sz w:val="20"/>
        </w:rPr>
      </w:pPr>
      <w:r>
        <w:rPr>
          <w:color w:val="000000"/>
          <w:spacing w:val="-1"/>
          <w:sz w:val="20"/>
        </w:rPr>
        <w:t>Torts &gt; Business Torts &gt; Fraud &amp; Misrepresenta-</w:t>
      </w:r>
      <w:r>
        <w:rPr>
          <w:color w:val="000000"/>
          <w:spacing w:val="-1"/>
          <w:sz w:val="20"/>
        </w:rPr>
        <w:br/>
      </w:r>
      <w:r>
        <w:rPr>
          <w:color w:val="000000"/>
          <w:sz w:val="20"/>
        </w:rPr>
        <w:t>tion &gt; General Overview</w:t>
      </w:r>
    </w:p>
    <w:p w:rsidR="00491B30" w:rsidRDefault="00BA5DC6">
      <w:pPr>
        <w:spacing w:before="192" w:line="259" w:lineRule="exact"/>
        <w:ind w:left="898"/>
        <w:jc w:val="both"/>
        <w:rPr>
          <w:color w:val="000000"/>
          <w:spacing w:val="-1"/>
        </w:rPr>
      </w:pPr>
      <w:r>
        <w:rPr>
          <w:rFonts w:ascii="Times New Roman Bold Italic" w:hAnsi="Times New Roman Bold Italic"/>
          <w:color w:val="000000"/>
        </w:rPr>
        <w:t>HN11</w:t>
      </w:r>
      <w:r>
        <w:rPr>
          <w:color w:val="000000"/>
        </w:rPr>
        <w:t xml:space="preserve"> A fraud action is not barred when the al-</w:t>
      </w:r>
      <w:r>
        <w:rPr>
          <w:color w:val="000000"/>
        </w:rPr>
        <w:br/>
      </w:r>
      <w:r>
        <w:rPr>
          <w:color w:val="000000"/>
          <w:spacing w:val="-1"/>
        </w:rPr>
        <w:t>legedly fraudulent promise is unenforceable</w:t>
      </w:r>
    </w:p>
    <w:p w:rsidR="00491B30" w:rsidRDefault="00BA5DC6">
      <w:pPr>
        <w:spacing w:before="1" w:line="259" w:lineRule="exact"/>
        <w:ind w:left="898"/>
        <w:jc w:val="both"/>
        <w:rPr>
          <w:color w:val="000000"/>
          <w:spacing w:val="-1"/>
        </w:rPr>
      </w:pPr>
      <w:r>
        <w:rPr>
          <w:color w:val="000000"/>
        </w:rPr>
        <w:t>under the statute of frauds. A rul</w:t>
      </w:r>
      <w:r>
        <w:rPr>
          <w:color w:val="000000"/>
        </w:rPr>
        <w:t xml:space="preserve">e intended to </w:t>
      </w:r>
      <w:r>
        <w:rPr>
          <w:color w:val="000000"/>
          <w:w w:val="101"/>
        </w:rPr>
        <w:t>prevent fraud should not be applied so as to fa-</w:t>
      </w:r>
      <w:r>
        <w:rPr>
          <w:color w:val="000000"/>
          <w:w w:val="101"/>
        </w:rPr>
        <w:br/>
      </w:r>
      <w:r>
        <w:rPr>
          <w:color w:val="000000"/>
          <w:spacing w:val="-1"/>
        </w:rPr>
        <w:t>cilitate fraud.</w:t>
      </w:r>
    </w:p>
    <w:p w:rsidR="00491B30" w:rsidRDefault="00491B30">
      <w:pPr>
        <w:spacing w:line="219" w:lineRule="exact"/>
        <w:ind w:left="898"/>
        <w:jc w:val="both"/>
        <w:rPr>
          <w:color w:val="000000"/>
          <w:spacing w:val="-1"/>
        </w:rPr>
      </w:pPr>
    </w:p>
    <w:p w:rsidR="00491B30" w:rsidRDefault="00BA5DC6">
      <w:pPr>
        <w:spacing w:before="50" w:line="219" w:lineRule="exact"/>
        <w:ind w:left="1098" w:right="490"/>
        <w:jc w:val="both"/>
        <w:rPr>
          <w:color w:val="000000"/>
          <w:sz w:val="20"/>
        </w:rPr>
      </w:pPr>
      <w:r>
        <w:rPr>
          <w:color w:val="000000"/>
          <w:sz w:val="20"/>
        </w:rPr>
        <w:t>Torts &gt; ... &gt; Fraud &amp; Misrepresentation &gt; Actual Fraud &gt; Elements</w:t>
      </w:r>
    </w:p>
    <w:p w:rsidR="00491B30" w:rsidRDefault="00BA5DC6">
      <w:pPr>
        <w:spacing w:before="192" w:line="259" w:lineRule="exact"/>
        <w:ind w:left="898" w:right="12"/>
        <w:rPr>
          <w:color w:val="000000"/>
          <w:spacing w:val="-1"/>
        </w:rPr>
      </w:pPr>
      <w:r>
        <w:rPr>
          <w:rFonts w:ascii="Times New Roman Bold Italic" w:hAnsi="Times New Roman Bold Italic"/>
          <w:color w:val="000000"/>
        </w:rPr>
        <w:t>HN12</w:t>
      </w:r>
      <w:r>
        <w:rPr>
          <w:color w:val="000000"/>
        </w:rPr>
        <w:t xml:space="preserve"> Promissory fraud, like all forms of fraud, requires a showing of justifiable reliance </w:t>
      </w:r>
      <w:r>
        <w:rPr>
          <w:color w:val="000000"/>
          <w:spacing w:val="-1"/>
        </w:rPr>
        <w:t xml:space="preserve">on the defendant’s </w:t>
      </w:r>
      <w:r>
        <w:rPr>
          <w:color w:val="000000"/>
          <w:spacing w:val="-1"/>
        </w:rPr>
        <w:t>misrepresentation.</w:t>
      </w:r>
    </w:p>
    <w:p w:rsidR="00491B30" w:rsidRDefault="00491B30">
      <w:pPr>
        <w:spacing w:line="230" w:lineRule="exact"/>
        <w:ind w:left="978"/>
        <w:rPr>
          <w:color w:val="000000"/>
          <w:spacing w:val="-1"/>
        </w:rPr>
      </w:pPr>
    </w:p>
    <w:p w:rsidR="00491B30" w:rsidRDefault="00BA5DC6">
      <w:pPr>
        <w:spacing w:before="169" w:line="230" w:lineRule="exact"/>
        <w:ind w:left="978"/>
        <w:rPr>
          <w:rFonts w:ascii="Times New Roman Bold" w:hAnsi="Times New Roman Bold"/>
          <w:color w:val="000000"/>
          <w:spacing w:val="-2"/>
          <w:sz w:val="20"/>
        </w:rPr>
      </w:pPr>
      <w:r>
        <w:rPr>
          <w:rFonts w:ascii="Times New Roman Bold" w:hAnsi="Times New Roman Bold"/>
          <w:color w:val="000000"/>
          <w:spacing w:val="-2"/>
          <w:sz w:val="20"/>
        </w:rPr>
        <w:t>Headnotes/Syllabus</w:t>
      </w:r>
    </w:p>
    <w:p w:rsidR="00491B30" w:rsidRDefault="00BA5DC6">
      <w:pPr>
        <w:spacing w:before="210" w:line="276" w:lineRule="exact"/>
        <w:ind w:left="898"/>
        <w:rPr>
          <w:rFonts w:ascii="Times New Roman Bold" w:hAnsi="Times New Roman Bold"/>
          <w:color w:val="000000"/>
          <w:spacing w:val="-3"/>
        </w:rPr>
      </w:pPr>
      <w:r>
        <w:rPr>
          <w:rFonts w:ascii="Times New Roman Bold" w:hAnsi="Times New Roman Bold"/>
          <w:color w:val="000000"/>
          <w:spacing w:val="-3"/>
        </w:rPr>
        <w:t>Summary</w:t>
      </w:r>
    </w:p>
    <w:p w:rsidR="00491B30" w:rsidRDefault="00BA5DC6">
      <w:pPr>
        <w:spacing w:line="259" w:lineRule="exact"/>
        <w:ind w:left="898"/>
        <w:jc w:val="both"/>
        <w:rPr>
          <w:color w:val="000000"/>
          <w:spacing w:val="-5"/>
        </w:rPr>
      </w:pPr>
      <w:r>
        <w:rPr>
          <w:color w:val="000000"/>
        </w:rPr>
        <w:t>CALIFORNIA  OFFICIAL  REPORTS  SUM-</w:t>
      </w:r>
      <w:r>
        <w:rPr>
          <w:color w:val="000000"/>
        </w:rPr>
        <w:br/>
      </w:r>
      <w:r>
        <w:rPr>
          <w:color w:val="000000"/>
          <w:spacing w:val="-5"/>
        </w:rPr>
        <w:t>MARY</w:t>
      </w:r>
    </w:p>
    <w:p w:rsidR="00491B30" w:rsidRDefault="00BA5DC6">
      <w:pPr>
        <w:spacing w:before="259" w:line="259" w:lineRule="exact"/>
        <w:ind w:left="898"/>
        <w:jc w:val="both"/>
        <w:rPr>
          <w:color w:val="000000"/>
        </w:rPr>
      </w:pPr>
      <w:r>
        <w:rPr>
          <w:color w:val="000000"/>
          <w:spacing w:val="-1"/>
        </w:rPr>
        <w:t xml:space="preserve">Borrowers sued a lender, seeking damages for </w:t>
      </w:r>
      <w:r>
        <w:rPr>
          <w:color w:val="000000"/>
          <w:spacing w:val="-1"/>
        </w:rPr>
        <w:br/>
        <w:t>fraud and negligent misrepresentation. The bor-</w:t>
      </w:r>
      <w:r>
        <w:rPr>
          <w:color w:val="000000"/>
          <w:spacing w:val="-1"/>
        </w:rPr>
        <w:br/>
      </w:r>
      <w:r>
        <w:rPr>
          <w:color w:val="000000"/>
        </w:rPr>
        <w:t>rowers alleged that they were induced to en-</w:t>
      </w:r>
    </w:p>
    <w:p w:rsidR="00491B30" w:rsidRDefault="00BA5DC6">
      <w:pPr>
        <w:spacing w:line="259" w:lineRule="exact"/>
        <w:ind w:left="5807"/>
        <w:jc w:val="both"/>
        <w:rPr>
          <w:color w:val="000000"/>
        </w:rPr>
      </w:pPr>
      <w:r>
        <w:rPr>
          <w:color w:val="000000"/>
        </w:rPr>
        <w:br w:type="column"/>
      </w:r>
    </w:p>
    <w:p w:rsidR="00491B30" w:rsidRDefault="00491B30">
      <w:pPr>
        <w:spacing w:line="259" w:lineRule="exact"/>
        <w:ind w:left="5807"/>
        <w:jc w:val="both"/>
        <w:rPr>
          <w:color w:val="000000"/>
        </w:rPr>
      </w:pPr>
    </w:p>
    <w:p w:rsidR="00491B30" w:rsidRDefault="00BA5DC6">
      <w:pPr>
        <w:spacing w:before="22" w:line="259" w:lineRule="exact"/>
        <w:ind w:left="20" w:right="748"/>
        <w:jc w:val="both"/>
        <w:rPr>
          <w:color w:val="000000"/>
        </w:rPr>
      </w:pPr>
      <w:r>
        <w:rPr>
          <w:color w:val="000000"/>
          <w:w w:val="101"/>
        </w:rPr>
        <w:t xml:space="preserve">ter into a contract with </w:t>
      </w:r>
      <w:r>
        <w:rPr>
          <w:color w:val="000000"/>
          <w:w w:val="101"/>
        </w:rPr>
        <w:t>the lender by the lend-</w:t>
      </w:r>
      <w:r>
        <w:rPr>
          <w:color w:val="000000"/>
          <w:w w:val="101"/>
        </w:rPr>
        <w:br/>
      </w:r>
      <w:r>
        <w:rPr>
          <w:color w:val="000000"/>
        </w:rPr>
        <w:t>er’s oral misrepresentations of the terms</w:t>
      </w:r>
    </w:p>
    <w:p w:rsidR="00491B30" w:rsidRDefault="00BA5DC6">
      <w:pPr>
        <w:spacing w:line="259" w:lineRule="exact"/>
        <w:ind w:left="20" w:right="688"/>
        <w:jc w:val="both"/>
        <w:rPr>
          <w:color w:val="000000"/>
          <w:spacing w:val="-1"/>
        </w:rPr>
      </w:pPr>
      <w:r>
        <w:rPr>
          <w:color w:val="000000"/>
        </w:rPr>
        <w:t xml:space="preserve">contained in the written agreement. Relying on </w:t>
      </w:r>
      <w:r>
        <w:rPr>
          <w:rFonts w:ascii="Times New Roman Italic" w:hAnsi="Times New Roman Italic"/>
          <w:color w:val="000000"/>
          <w:spacing w:val="-1"/>
        </w:rPr>
        <w:t>Bank of America etc. Assn. v. Pendergrass</w:t>
      </w:r>
      <w:r>
        <w:rPr>
          <w:color w:val="000000"/>
          <w:spacing w:val="-1"/>
        </w:rPr>
        <w:t>,</w:t>
      </w:r>
    </w:p>
    <w:p w:rsidR="00491B30" w:rsidRDefault="00BA5DC6">
      <w:pPr>
        <w:spacing w:line="259" w:lineRule="exact"/>
        <w:ind w:left="20" w:right="639"/>
        <w:jc w:val="both"/>
        <w:rPr>
          <w:color w:val="000000"/>
        </w:rPr>
      </w:pPr>
      <w:r>
        <w:rPr>
          <w:color w:val="000000"/>
        </w:rPr>
        <w:t xml:space="preserve">the trial court granted the lender’s motion for </w:t>
      </w:r>
      <w:r>
        <w:rPr>
          <w:color w:val="000000"/>
          <w:spacing w:val="-1"/>
        </w:rPr>
        <w:t>summary judgment, ruling that the fraud excep-</w:t>
      </w:r>
      <w:r>
        <w:rPr>
          <w:color w:val="000000"/>
          <w:spacing w:val="-1"/>
        </w:rPr>
        <w:br/>
      </w:r>
      <w:r>
        <w:rPr>
          <w:color w:val="000000"/>
          <w:w w:val="101"/>
        </w:rPr>
        <w:t xml:space="preserve">tion to the parol evidence rule does not allow </w:t>
      </w:r>
      <w:r>
        <w:rPr>
          <w:color w:val="000000"/>
          <w:w w:val="107"/>
        </w:rPr>
        <w:t xml:space="preserve">parol evidence of promises at odds with the </w:t>
      </w:r>
      <w:r>
        <w:rPr>
          <w:color w:val="000000"/>
        </w:rPr>
        <w:t>terms of the written agreement. (Superior</w:t>
      </w:r>
    </w:p>
    <w:p w:rsidR="00491B30" w:rsidRDefault="00BA5DC6">
      <w:pPr>
        <w:spacing w:line="259" w:lineRule="exact"/>
        <w:ind w:left="20" w:right="706"/>
        <w:rPr>
          <w:color w:val="000000"/>
          <w:spacing w:val="-3"/>
        </w:rPr>
      </w:pPr>
      <w:r>
        <w:rPr>
          <w:color w:val="000000"/>
          <w:spacing w:val="-1"/>
        </w:rPr>
        <w:t xml:space="preserve">Court of Fresno County, No. 08CECG01416, </w:t>
      </w:r>
      <w:r>
        <w:rPr>
          <w:color w:val="000000"/>
          <w:spacing w:val="-1"/>
        </w:rPr>
        <w:br/>
      </w:r>
      <w:r>
        <w:rPr>
          <w:color w:val="000000"/>
          <w:w w:val="102"/>
        </w:rPr>
        <w:t>Adolfo M. Corona, Judge.) The Court of Ap-</w:t>
      </w:r>
      <w:r>
        <w:rPr>
          <w:color w:val="000000"/>
          <w:w w:val="102"/>
        </w:rPr>
        <w:br/>
      </w:r>
      <w:r>
        <w:rPr>
          <w:color w:val="000000"/>
        </w:rPr>
        <w:t>peal, Fifth Dist., No. F058434, revers</w:t>
      </w:r>
      <w:r>
        <w:rPr>
          <w:color w:val="000000"/>
        </w:rPr>
        <w:t xml:space="preserve">ed the </w:t>
      </w:r>
      <w:r>
        <w:rPr>
          <w:color w:val="000000"/>
        </w:rPr>
        <w:br/>
      </w:r>
      <w:r>
        <w:rPr>
          <w:color w:val="000000"/>
          <w:spacing w:val="-1"/>
        </w:rPr>
        <w:t>trial court’s judgment, concluding that</w:t>
      </w:r>
      <w:r>
        <w:rPr>
          <w:rFonts w:ascii="Times New Roman Italic" w:hAnsi="Times New Roman Italic"/>
          <w:color w:val="000000"/>
          <w:spacing w:val="-1"/>
        </w:rPr>
        <w:t xml:space="preserve"> Pender-</w:t>
      </w:r>
      <w:r>
        <w:rPr>
          <w:rFonts w:ascii="Times New Roman Italic" w:hAnsi="Times New Roman Italic"/>
          <w:color w:val="000000"/>
          <w:spacing w:val="-1"/>
        </w:rPr>
        <w:br/>
      </w:r>
      <w:r>
        <w:rPr>
          <w:rFonts w:ascii="Times New Roman Italic" w:hAnsi="Times New Roman Italic"/>
          <w:color w:val="000000"/>
        </w:rPr>
        <w:t>grass</w:t>
      </w:r>
      <w:r>
        <w:rPr>
          <w:color w:val="000000"/>
        </w:rPr>
        <w:t xml:space="preserve"> is limited to cases of promissory fraud, </w:t>
      </w:r>
      <w:r>
        <w:rPr>
          <w:color w:val="000000"/>
        </w:rPr>
        <w:br/>
      </w:r>
      <w:r>
        <w:rPr>
          <w:color w:val="000000"/>
          <w:w w:val="101"/>
        </w:rPr>
        <w:t xml:space="preserve">and that false statements about the contents of </w:t>
      </w:r>
      <w:r>
        <w:rPr>
          <w:color w:val="000000"/>
          <w:w w:val="101"/>
        </w:rPr>
        <w:br/>
      </w:r>
      <w:r>
        <w:rPr>
          <w:color w:val="000000"/>
          <w:spacing w:val="-3"/>
        </w:rPr>
        <w:t>the agreement itself to be factual misrepresen-</w:t>
      </w:r>
      <w:r>
        <w:rPr>
          <w:color w:val="000000"/>
          <w:spacing w:val="-3"/>
        </w:rPr>
        <w:br/>
      </w:r>
      <w:r>
        <w:rPr>
          <w:color w:val="000000"/>
          <w:w w:val="105"/>
        </w:rPr>
        <w:t>tations beyond the scope of the</w:t>
      </w:r>
      <w:r>
        <w:rPr>
          <w:rFonts w:ascii="Times New Roman Italic" w:hAnsi="Times New Roman Italic"/>
          <w:color w:val="000000"/>
          <w:w w:val="105"/>
        </w:rPr>
        <w:t xml:space="preserve"> Pendergrass </w:t>
      </w:r>
      <w:r>
        <w:rPr>
          <w:rFonts w:ascii="Times New Roman Italic" w:hAnsi="Times New Roman Italic"/>
          <w:color w:val="000000"/>
          <w:w w:val="105"/>
        </w:rPr>
        <w:br/>
      </w:r>
      <w:r>
        <w:rPr>
          <w:color w:val="000000"/>
          <w:spacing w:val="-3"/>
        </w:rPr>
        <w:t>rule.</w:t>
      </w:r>
    </w:p>
    <w:p w:rsidR="00491B30" w:rsidRDefault="00BA5DC6">
      <w:pPr>
        <w:spacing w:before="230" w:line="259" w:lineRule="exact"/>
        <w:ind w:left="20" w:right="726"/>
        <w:rPr>
          <w:color w:val="000000"/>
          <w:spacing w:val="-1"/>
        </w:rPr>
      </w:pPr>
      <w:r>
        <w:rPr>
          <w:color w:val="000000"/>
        </w:rPr>
        <w:t xml:space="preserve">The Supreme Court affirmed the judgment of </w:t>
      </w:r>
      <w:r>
        <w:rPr>
          <w:color w:val="000000"/>
        </w:rPr>
        <w:br/>
      </w:r>
      <w:r>
        <w:rPr>
          <w:color w:val="000000"/>
          <w:w w:val="101"/>
        </w:rPr>
        <w:t xml:space="preserve">the Court of Appeal. The court concluded that </w:t>
      </w:r>
      <w:r>
        <w:rPr>
          <w:color w:val="000000"/>
          <w:w w:val="101"/>
        </w:rPr>
        <w:br/>
      </w:r>
      <w:r>
        <w:rPr>
          <w:rFonts w:ascii="Times New Roman Italic" w:hAnsi="Times New Roman Italic"/>
          <w:color w:val="000000"/>
          <w:spacing w:val="-1"/>
        </w:rPr>
        <w:t>Pendergrass</w:t>
      </w:r>
      <w:r>
        <w:rPr>
          <w:color w:val="000000"/>
          <w:spacing w:val="-1"/>
        </w:rPr>
        <w:t xml:space="preserve"> was ill considered, and should </w:t>
      </w:r>
      <w:r>
        <w:rPr>
          <w:color w:val="000000"/>
          <w:spacing w:val="-1"/>
        </w:rPr>
        <w:br/>
        <w:t>be overruled. The</w:t>
      </w:r>
      <w:r>
        <w:rPr>
          <w:rFonts w:ascii="Times New Roman Italic" w:hAnsi="Times New Roman Italic"/>
          <w:color w:val="000000"/>
          <w:spacing w:val="-1"/>
        </w:rPr>
        <w:t xml:space="preserve"> Pendergrass</w:t>
      </w:r>
      <w:r>
        <w:rPr>
          <w:color w:val="000000"/>
          <w:spacing w:val="-1"/>
        </w:rPr>
        <w:t xml:space="preserve"> rule is difficult</w:t>
      </w:r>
    </w:p>
    <w:p w:rsidR="00491B30" w:rsidRDefault="00BA5DC6">
      <w:pPr>
        <w:spacing w:line="259" w:lineRule="exact"/>
        <w:ind w:left="20" w:right="639"/>
        <w:jc w:val="both"/>
        <w:rPr>
          <w:color w:val="000000"/>
        </w:rPr>
      </w:pPr>
      <w:r>
        <w:rPr>
          <w:color w:val="000000"/>
          <w:spacing w:val="-1"/>
        </w:rPr>
        <w:t>to apply.</w:t>
      </w:r>
      <w:r>
        <w:rPr>
          <w:rFonts w:ascii="Times New Roman Italic" w:hAnsi="Times New Roman Italic"/>
          <w:color w:val="000000"/>
          <w:spacing w:val="-1"/>
        </w:rPr>
        <w:t xml:space="preserve"> Pendergrass</w:t>
      </w:r>
      <w:r>
        <w:rPr>
          <w:color w:val="000000"/>
          <w:spacing w:val="-1"/>
        </w:rPr>
        <w:t xml:space="preserve"> purported to follow</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Code </w:t>
      </w:r>
      <w:r>
        <w:rPr>
          <w:rFonts w:ascii="Times New Roman Italic" w:hAnsi="Times New Roman Italic"/>
          <w:color w:val="0000FF"/>
          <w:u w:val="single"/>
        </w:rPr>
        <w:t>Civ. Proc., § 1856</w:t>
      </w:r>
      <w:r>
        <w:rPr>
          <w:color w:val="000000"/>
        </w:rPr>
        <w:t xml:space="preserve">, but </w:t>
      </w:r>
      <w:r>
        <w:rPr>
          <w:color w:val="000000"/>
        </w:rPr>
        <w:t>its restriction on the</w:t>
      </w:r>
    </w:p>
    <w:p w:rsidR="00491B30" w:rsidRDefault="00BA5DC6">
      <w:pPr>
        <w:spacing w:line="259" w:lineRule="exact"/>
        <w:ind w:left="20" w:right="639"/>
        <w:jc w:val="both"/>
        <w:rPr>
          <w:color w:val="000000"/>
          <w:w w:val="101"/>
        </w:rPr>
      </w:pPr>
      <w:r>
        <w:rPr>
          <w:color w:val="000000"/>
          <w:spacing w:val="-1"/>
        </w:rPr>
        <w:t xml:space="preserve">fraud exception was inconsistent with the terms </w:t>
      </w:r>
      <w:r>
        <w:rPr>
          <w:color w:val="000000"/>
          <w:w w:val="101"/>
        </w:rPr>
        <w:t>of the statute, and with settled case law as</w:t>
      </w:r>
    </w:p>
    <w:p w:rsidR="00491B30" w:rsidRDefault="00BA5DC6">
      <w:pPr>
        <w:spacing w:line="259" w:lineRule="exact"/>
        <w:ind w:left="20" w:right="659"/>
        <w:jc w:val="both"/>
        <w:rPr>
          <w:color w:val="000000"/>
        </w:rPr>
      </w:pPr>
      <w:r>
        <w:rPr>
          <w:color w:val="000000"/>
        </w:rPr>
        <w:t>well. While intended to prevent fraud, the</w:t>
      </w:r>
      <w:r>
        <w:rPr>
          <w:rFonts w:ascii="Times New Roman Italic" w:hAnsi="Times New Roman Italic"/>
          <w:color w:val="000000"/>
        </w:rPr>
        <w:t xml:space="preserve"> Pen-</w:t>
      </w:r>
      <w:r>
        <w:rPr>
          <w:rFonts w:ascii="Times New Roman Italic" w:hAnsi="Times New Roman Italic"/>
          <w:color w:val="000000"/>
        </w:rPr>
        <w:br/>
        <w:t>dergrass</w:t>
      </w:r>
      <w:r>
        <w:rPr>
          <w:color w:val="000000"/>
        </w:rPr>
        <w:t xml:space="preserve"> rule may actually provide a shield</w:t>
      </w:r>
    </w:p>
    <w:p w:rsidR="00491B30" w:rsidRDefault="00BA5DC6">
      <w:pPr>
        <w:spacing w:before="1" w:line="259" w:lineRule="exact"/>
        <w:ind w:left="20" w:right="735"/>
        <w:jc w:val="both"/>
        <w:rPr>
          <w:color w:val="000000"/>
          <w:spacing w:val="-1"/>
        </w:rPr>
      </w:pPr>
      <w:r>
        <w:rPr>
          <w:color w:val="000000"/>
          <w:spacing w:val="-1"/>
        </w:rPr>
        <w:t>for fraudulent conduct. The</w:t>
      </w:r>
      <w:r>
        <w:rPr>
          <w:rFonts w:ascii="Times New Roman Italic" w:hAnsi="Times New Roman Italic"/>
          <w:color w:val="000000"/>
          <w:spacing w:val="-1"/>
        </w:rPr>
        <w:t xml:space="preserve"> Pendergrass</w:t>
      </w:r>
      <w:r>
        <w:rPr>
          <w:color w:val="000000"/>
          <w:spacing w:val="-1"/>
        </w:rPr>
        <w:t xml:space="preserve"> rule </w:t>
      </w:r>
      <w:r>
        <w:rPr>
          <w:color w:val="000000"/>
        </w:rPr>
        <w:t>fai</w:t>
      </w:r>
      <w:r>
        <w:rPr>
          <w:color w:val="000000"/>
        </w:rPr>
        <w:t xml:space="preserve">led to account for the fundamental principle </w:t>
      </w:r>
      <w:r>
        <w:rPr>
          <w:color w:val="000000"/>
          <w:spacing w:val="-1"/>
        </w:rPr>
        <w:t>that fraud undermines the essential validity</w:t>
      </w:r>
    </w:p>
    <w:p w:rsidR="00491B30" w:rsidRDefault="00BA5DC6">
      <w:pPr>
        <w:spacing w:line="259" w:lineRule="exact"/>
        <w:ind w:left="20" w:right="639"/>
        <w:jc w:val="both"/>
        <w:rPr>
          <w:color w:val="000000"/>
        </w:rPr>
      </w:pPr>
      <w:r>
        <w:rPr>
          <w:color w:val="000000"/>
          <w:spacing w:val="-1"/>
        </w:rPr>
        <w:t>of the parties’ agreement. The</w:t>
      </w:r>
      <w:r>
        <w:rPr>
          <w:rFonts w:ascii="Times New Roman Italic" w:hAnsi="Times New Roman Italic"/>
          <w:color w:val="000000"/>
          <w:spacing w:val="-1"/>
        </w:rPr>
        <w:t xml:space="preserve"> Pendergrass</w:t>
      </w:r>
      <w:r>
        <w:rPr>
          <w:color w:val="000000"/>
          <w:spacing w:val="-1"/>
        </w:rPr>
        <w:t xml:space="preserve"> rule </w:t>
      </w:r>
      <w:r>
        <w:rPr>
          <w:color w:val="000000"/>
        </w:rPr>
        <w:t>sought to prevent frauds and perjuries, but ig-</w:t>
      </w:r>
      <w:r>
        <w:rPr>
          <w:color w:val="000000"/>
        </w:rPr>
        <w:br/>
      </w:r>
      <w:r>
        <w:rPr>
          <w:color w:val="000000"/>
          <w:spacing w:val="-1"/>
        </w:rPr>
        <w:t>nored California law protecting against promis-</w:t>
      </w:r>
      <w:r>
        <w:rPr>
          <w:color w:val="000000"/>
          <w:spacing w:val="-1"/>
        </w:rPr>
        <w:br/>
      </w:r>
      <w:r>
        <w:rPr>
          <w:color w:val="000000"/>
        </w:rPr>
        <w:t xml:space="preserve">sory fraud. The parol </w:t>
      </w:r>
      <w:r>
        <w:rPr>
          <w:color w:val="000000"/>
        </w:rPr>
        <w:t>evidence rule should</w:t>
      </w:r>
    </w:p>
    <w:p w:rsidR="00491B30" w:rsidRDefault="00BA5DC6">
      <w:pPr>
        <w:spacing w:before="1" w:line="259" w:lineRule="exact"/>
        <w:ind w:left="20" w:right="748"/>
        <w:jc w:val="both"/>
        <w:rPr>
          <w:color w:val="000000"/>
          <w:spacing w:val="-1"/>
        </w:rPr>
      </w:pPr>
      <w:r>
        <w:rPr>
          <w:color w:val="000000"/>
          <w:w w:val="102"/>
        </w:rPr>
        <w:t xml:space="preserve">not be used as a shield to prevent the proof of </w:t>
      </w:r>
      <w:r>
        <w:rPr>
          <w:color w:val="000000"/>
          <w:spacing w:val="-1"/>
        </w:rPr>
        <w:t>fraud. (Opinion by Corrigan, J., expressing</w:t>
      </w:r>
    </w:p>
    <w:p w:rsidR="00491B30" w:rsidRDefault="00BA5DC6">
      <w:pPr>
        <w:spacing w:before="1" w:line="259" w:lineRule="exact"/>
        <w:ind w:left="20"/>
        <w:rPr>
          <w:color w:val="000000"/>
        </w:rPr>
      </w:pPr>
      <w:r>
        <w:rPr>
          <w:color w:val="000000"/>
        </w:rPr>
        <w:t>the unanimous view of the court.)</w:t>
      </w:r>
    </w:p>
    <w:p w:rsidR="00491B30" w:rsidRDefault="00BA5DC6">
      <w:pPr>
        <w:spacing w:before="246" w:line="276" w:lineRule="exact"/>
        <w:ind w:left="20"/>
        <w:rPr>
          <w:rFonts w:ascii="Times New Roman Bold" w:hAnsi="Times New Roman Bold"/>
          <w:color w:val="000000"/>
          <w:spacing w:val="-3"/>
        </w:rPr>
      </w:pPr>
      <w:r>
        <w:rPr>
          <w:rFonts w:ascii="Times New Roman Bold" w:hAnsi="Times New Roman Bold"/>
          <w:color w:val="000000"/>
          <w:spacing w:val="-3"/>
        </w:rPr>
        <w:t>Headnotes</w:t>
      </w:r>
    </w:p>
    <w:p w:rsidR="00491B30" w:rsidRDefault="00BA5DC6">
      <w:pPr>
        <w:spacing w:line="258" w:lineRule="exact"/>
        <w:ind w:left="20" w:right="783"/>
        <w:jc w:val="both"/>
        <w:rPr>
          <w:color w:val="000000"/>
          <w:spacing w:val="-3"/>
        </w:rPr>
      </w:pPr>
      <w:r>
        <w:rPr>
          <w:color w:val="000000"/>
          <w:spacing w:val="-2"/>
        </w:rPr>
        <w:t>CALIFORNIA OFFICIAL REPORTS HEAD-</w:t>
      </w:r>
      <w:r>
        <w:rPr>
          <w:color w:val="000000"/>
          <w:spacing w:val="-2"/>
        </w:rPr>
        <w:br/>
      </w:r>
      <w:r>
        <w:rPr>
          <w:color w:val="000000"/>
          <w:spacing w:val="-3"/>
        </w:rPr>
        <w:t>NOTES</w:t>
      </w:r>
    </w:p>
    <w:p w:rsidR="00491B30" w:rsidRDefault="00BA5DC6">
      <w:pPr>
        <w:spacing w:before="246" w:line="276" w:lineRule="exact"/>
        <w:ind w:left="20"/>
        <w:rPr>
          <w:color w:val="000000"/>
          <w:spacing w:val="-1"/>
        </w:rPr>
      </w:pPr>
      <w:r>
        <w:rPr>
          <w:rFonts w:ascii="Times New Roman Bold Italic" w:hAnsi="Times New Roman Bold Italic"/>
          <w:color w:val="000000"/>
          <w:spacing w:val="-1"/>
        </w:rPr>
        <w:t>CA(1)</w:t>
      </w:r>
      <w:r>
        <w:rPr>
          <w:color w:val="000000"/>
          <w:spacing w:val="-1"/>
        </w:rPr>
        <w:t xml:space="preserve"> (1)</w:t>
      </w:r>
    </w:p>
    <w:p w:rsidR="00491B30" w:rsidRDefault="00BA5DC6">
      <w:pPr>
        <w:spacing w:line="237" w:lineRule="exact"/>
        <w:ind w:left="220" w:right="902"/>
        <w:jc w:val="both"/>
        <w:rPr>
          <w:color w:val="000000"/>
          <w:spacing w:val="-1"/>
          <w:sz w:val="20"/>
        </w:rPr>
      </w:pPr>
      <w:r>
        <w:rPr>
          <w:color w:val="000000"/>
          <w:sz w:val="20"/>
        </w:rPr>
        <w:t>Contracts § 27 &gt; Interpretation &gt;</w:t>
      </w:r>
      <w:r>
        <w:rPr>
          <w:color w:val="000000"/>
          <w:sz w:val="20"/>
        </w:rPr>
        <w:t xml:space="preserve"> Integrated Written </w:t>
      </w:r>
      <w:r>
        <w:rPr>
          <w:color w:val="000000"/>
          <w:spacing w:val="-1"/>
          <w:sz w:val="20"/>
        </w:rPr>
        <w:t>Agreement &gt; Final Expression.</w:t>
      </w:r>
    </w:p>
    <w:p w:rsidR="00491B30" w:rsidRDefault="00BA5DC6">
      <w:pPr>
        <w:spacing w:before="213" w:line="259" w:lineRule="exact"/>
        <w:ind w:left="20" w:right="762"/>
        <w:jc w:val="both"/>
        <w:rPr>
          <w:color w:val="000000"/>
        </w:rPr>
      </w:pPr>
      <w:r>
        <w:rPr>
          <w:color w:val="000000"/>
        </w:rPr>
        <w:t>An integrated agreement is a writing or writ-</w:t>
      </w:r>
      <w:r>
        <w:rPr>
          <w:color w:val="000000"/>
        </w:rPr>
        <w:br/>
      </w:r>
      <w:r>
        <w:rPr>
          <w:color w:val="000000"/>
          <w:w w:val="104"/>
        </w:rPr>
        <w:t xml:space="preserve">ings constituting a final expression of one or </w:t>
      </w:r>
      <w:r>
        <w:rPr>
          <w:color w:val="000000"/>
        </w:rPr>
        <w:t xml:space="preserve">more terms of an agreement. </w:t>
      </w:r>
    </w:p>
    <w:p w:rsidR="00491B30" w:rsidRDefault="00491B30">
      <w:pPr>
        <w:rPr>
          <w:color w:val="000000"/>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30" w:lineRule="exact"/>
        <w:ind w:left="5183"/>
        <w:rPr>
          <w:color w:val="000000"/>
        </w:rPr>
      </w:pPr>
    </w:p>
    <w:p w:rsidR="00491B30" w:rsidRDefault="00BA5DC6">
      <w:pPr>
        <w:spacing w:before="50" w:line="230" w:lineRule="exact"/>
        <w:ind w:left="5183"/>
        <w:rPr>
          <w:color w:val="000000"/>
          <w:spacing w:val="-1"/>
          <w:sz w:val="20"/>
        </w:rPr>
      </w:pPr>
      <w:r>
        <w:rPr>
          <w:color w:val="000000"/>
          <w:spacing w:val="-1"/>
          <w:sz w:val="20"/>
        </w:rPr>
        <w:t xml:space="preserve">Charles Cox </w:t>
      </w:r>
      <w:r>
        <w:rPr>
          <w:color w:val="000000"/>
          <w:spacing w:val="-1"/>
          <w:sz w:val="20"/>
        </w:rPr>
        <w:pict>
          <v:line id="_x0000_s1091" style="position:absolute;left:0;text-align:left;z-index:-251603968;mso-position-horizontal-relative:page;mso-position-vertical-relative:page" from="66.5pt,610pt" to="301pt,610pt" o:allowincell="f" strokeweight="1.5pt">
            <w10:wrap anchorx="page" anchory="page"/>
          </v:line>
        </w:pict>
      </w:r>
      <w:r>
        <w:rPr>
          <w:color w:val="000000"/>
          <w:spacing w:val="-1"/>
          <w:sz w:val="20"/>
        </w:rPr>
        <w:pict>
          <v:line id="_x0000_s1092" style="position:absolute;left:0;text-align:left;z-index:-251602944;mso-position-horizontal-relative:page;mso-position-vertical-relative:page" from="300pt,616.85pt" to="301pt,616.85pt" o:allowincell="f" strokeweight="14.22pt">
            <w10:wrap anchorx="page" anchory="page"/>
          </v:line>
        </w:pict>
      </w:r>
      <w:r>
        <w:rPr>
          <w:color w:val="000000"/>
          <w:spacing w:val="-1"/>
          <w:sz w:val="20"/>
        </w:rPr>
        <w:pict>
          <v:line id="_x0000_s1093" style="position:absolute;left:0;text-align:left;z-index:-251601920;mso-position-horizontal-relative:page;mso-position-vertical-relative:page" from="66.5pt,623.7pt" to="301pt,623.7pt" o:allowincell="f" strokeweight="1.5pt">
            <w10:wrap anchorx="page" anchory="page"/>
          </v:line>
        </w:pict>
      </w:r>
      <w:r>
        <w:rPr>
          <w:color w:val="000000"/>
          <w:spacing w:val="-1"/>
          <w:sz w:val="20"/>
        </w:rPr>
        <w:pict>
          <v:line id="_x0000_s1094" style="position:absolute;left:0;text-align:left;z-index:-251599872;mso-position-horizontal-relative:page;mso-position-vertical-relative:page" from="66.5pt,616.85pt" to="67.5pt,616.85pt" o:allowincell="f" strokeweight="14.22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83"/>
        <w:rPr>
          <w:color w:val="000000"/>
          <w:sz w:val="20"/>
        </w:rPr>
      </w:pPr>
      <w:bookmarkStart w:id="4" w:name="Pg5"/>
      <w:bookmarkEnd w:id="4"/>
      <w:r>
        <w:rPr>
          <w:color w:val="000000"/>
          <w:sz w:val="20"/>
        </w:rPr>
        <w:lastRenderedPageBreak/>
        <w:t xml:space="preserve">55 Cal. 4th 1169, *1169; 2013 Cal. LEXIS 253, **1 </w:t>
      </w:r>
    </w:p>
    <w:p w:rsidR="00491B30" w:rsidRDefault="00491B30">
      <w:pPr>
        <w:spacing w:line="230" w:lineRule="exact"/>
        <w:ind w:left="6007"/>
        <w:rPr>
          <w:color w:val="000000"/>
          <w:sz w:val="20"/>
        </w:rPr>
      </w:pPr>
    </w:p>
    <w:p w:rsidR="00491B30" w:rsidRDefault="00491B30">
      <w:pPr>
        <w:spacing w:line="230" w:lineRule="exact"/>
        <w:ind w:left="6007"/>
        <w:rPr>
          <w:color w:val="000000"/>
          <w:sz w:val="20"/>
        </w:rPr>
      </w:pPr>
    </w:p>
    <w:p w:rsidR="00491B30" w:rsidRDefault="00BA5DC6">
      <w:pPr>
        <w:spacing w:before="70" w:line="230" w:lineRule="exact"/>
        <w:ind w:left="6007"/>
        <w:rPr>
          <w:color w:val="000000"/>
          <w:sz w:val="20"/>
        </w:rPr>
      </w:pPr>
      <w:r>
        <w:rPr>
          <w:color w:val="000000"/>
          <w:sz w:val="20"/>
        </w:rPr>
        <w:t>Courts § 37 &gt; Judicial Precedent &gt; Contrary Author-</w:t>
      </w:r>
    </w:p>
    <w:p w:rsidR="00491B30" w:rsidRDefault="00491B30">
      <w:pPr>
        <w:rPr>
          <w:color w:val="000000"/>
          <w:sz w:val="20"/>
        </w:rPr>
        <w:sectPr w:rsidR="00491B30">
          <w:pgSz w:w="12220" w:h="15820"/>
          <w:pgMar w:top="431" w:right="431" w:bottom="431" w:left="431" w:header="720" w:footer="720" w:gutter="0"/>
          <w:cols w:space="720"/>
        </w:sectPr>
      </w:pPr>
    </w:p>
    <w:p w:rsidR="00491B30" w:rsidRDefault="00BA5DC6">
      <w:pPr>
        <w:spacing w:before="25" w:line="276" w:lineRule="exact"/>
        <w:ind w:left="898"/>
        <w:rPr>
          <w:color w:val="000000"/>
          <w:spacing w:val="-1"/>
        </w:rPr>
      </w:pPr>
      <w:r>
        <w:rPr>
          <w:rFonts w:ascii="Times New Roman Bold Italic" w:hAnsi="Times New Roman Bold Italic"/>
          <w:color w:val="000000"/>
          <w:spacing w:val="-1"/>
        </w:rPr>
        <w:lastRenderedPageBreak/>
        <w:t>CA(2)</w:t>
      </w:r>
      <w:r>
        <w:rPr>
          <w:color w:val="000000"/>
          <w:spacing w:val="-1"/>
        </w:rPr>
        <w:t xml:space="preserve"> (2)</w:t>
      </w:r>
    </w:p>
    <w:p w:rsidR="00491B30" w:rsidRDefault="00BA5DC6">
      <w:pPr>
        <w:spacing w:line="230" w:lineRule="exact"/>
        <w:ind w:left="1098" w:right="85"/>
        <w:rPr>
          <w:color w:val="000000"/>
          <w:spacing w:val="-2"/>
          <w:sz w:val="20"/>
        </w:rPr>
      </w:pPr>
      <w:r>
        <w:rPr>
          <w:color w:val="000000"/>
          <w:sz w:val="20"/>
        </w:rPr>
        <w:t xml:space="preserve">Contracts § 27 &gt; Interpretation &gt; Parol Evidence </w:t>
      </w:r>
      <w:r>
        <w:rPr>
          <w:color w:val="000000"/>
          <w:sz w:val="20"/>
        </w:rPr>
        <w:br/>
      </w:r>
      <w:r>
        <w:rPr>
          <w:color w:val="000000"/>
          <w:spacing w:val="-1"/>
          <w:sz w:val="20"/>
        </w:rPr>
        <w:t>Rule &gt; Integrated Written Agreement &gt; Extrinsic Evi-</w:t>
      </w:r>
      <w:r>
        <w:rPr>
          <w:color w:val="000000"/>
          <w:spacing w:val="-1"/>
          <w:sz w:val="20"/>
        </w:rPr>
        <w:br/>
      </w:r>
      <w:r>
        <w:rPr>
          <w:color w:val="000000"/>
          <w:spacing w:val="-2"/>
          <w:sz w:val="20"/>
        </w:rPr>
        <w:t>dence.</w:t>
      </w:r>
    </w:p>
    <w:p w:rsidR="00491B30" w:rsidRDefault="00491B30">
      <w:pPr>
        <w:spacing w:line="259" w:lineRule="exact"/>
        <w:ind w:left="898"/>
        <w:rPr>
          <w:color w:val="000000"/>
          <w:spacing w:val="-2"/>
          <w:sz w:val="20"/>
        </w:rPr>
      </w:pPr>
    </w:p>
    <w:p w:rsidR="00491B30" w:rsidRDefault="00BA5DC6">
      <w:pPr>
        <w:spacing w:before="25" w:line="259" w:lineRule="exact"/>
        <w:ind w:left="898"/>
        <w:rPr>
          <w:color w:val="000000"/>
          <w:spacing w:val="-1"/>
        </w:rPr>
      </w:pPr>
      <w:r>
        <w:rPr>
          <w:color w:val="000000"/>
        </w:rPr>
        <w:t xml:space="preserve">Although the parol evidence rule results in the </w:t>
      </w:r>
      <w:r>
        <w:rPr>
          <w:color w:val="000000"/>
        </w:rPr>
        <w:br/>
      </w:r>
      <w:r>
        <w:rPr>
          <w:color w:val="000000"/>
          <w:w w:val="101"/>
        </w:rPr>
        <w:t>exclusion of evidence, it is not a rule of evi-</w:t>
      </w:r>
      <w:r>
        <w:rPr>
          <w:color w:val="000000"/>
          <w:w w:val="101"/>
        </w:rPr>
        <w:br/>
      </w:r>
      <w:r>
        <w:rPr>
          <w:color w:val="000000"/>
        </w:rPr>
        <w:t xml:space="preserve">dence but one of substantive law. It is founded </w:t>
      </w:r>
      <w:r>
        <w:rPr>
          <w:color w:val="000000"/>
        </w:rPr>
        <w:br/>
      </w:r>
      <w:r>
        <w:rPr>
          <w:color w:val="000000"/>
          <w:w w:val="101"/>
        </w:rPr>
        <w:t xml:space="preserve">on the principle that when the parties put all </w:t>
      </w:r>
      <w:r>
        <w:rPr>
          <w:color w:val="000000"/>
          <w:w w:val="101"/>
        </w:rPr>
        <w:br/>
      </w:r>
      <w:r>
        <w:rPr>
          <w:color w:val="000000"/>
          <w:spacing w:val="-2"/>
        </w:rPr>
        <w:t>the terms of their agreement in writing, the writ-</w:t>
      </w:r>
      <w:r>
        <w:rPr>
          <w:color w:val="000000"/>
          <w:spacing w:val="-2"/>
        </w:rPr>
        <w:br/>
      </w:r>
      <w:r>
        <w:rPr>
          <w:color w:val="000000"/>
        </w:rPr>
        <w:t xml:space="preserve">ing itself </w:t>
      </w:r>
      <w:r>
        <w:rPr>
          <w:color w:val="000000"/>
        </w:rPr>
        <w:t xml:space="preserve">becomes the agreement. The written </w:t>
      </w:r>
      <w:r>
        <w:rPr>
          <w:color w:val="000000"/>
        </w:rPr>
        <w:br/>
      </w:r>
      <w:r>
        <w:rPr>
          <w:color w:val="000000"/>
          <w:spacing w:val="-1"/>
        </w:rPr>
        <w:t>terms supersede statements made during the ne-</w:t>
      </w:r>
      <w:r>
        <w:rPr>
          <w:color w:val="000000"/>
          <w:spacing w:val="-1"/>
        </w:rPr>
        <w:br/>
        <w:t>gotiations. Extrinsic evidence of the agree-</w:t>
      </w:r>
    </w:p>
    <w:p w:rsidR="00491B30" w:rsidRDefault="00BA5DC6">
      <w:pPr>
        <w:spacing w:before="1" w:line="259" w:lineRule="exact"/>
        <w:ind w:left="898"/>
        <w:jc w:val="both"/>
        <w:rPr>
          <w:color w:val="000000"/>
          <w:spacing w:val="-1"/>
        </w:rPr>
      </w:pPr>
      <w:r>
        <w:rPr>
          <w:color w:val="000000"/>
          <w:spacing w:val="-3"/>
        </w:rPr>
        <w:t>ment’s terms is thus irrelevant, and cannot be re-</w:t>
      </w:r>
      <w:r>
        <w:rPr>
          <w:color w:val="000000"/>
          <w:spacing w:val="-3"/>
        </w:rPr>
        <w:br/>
      </w:r>
      <w:r>
        <w:rPr>
          <w:color w:val="000000"/>
        </w:rPr>
        <w:t xml:space="preserve">lied upon. The parol evidence rule, unlike the </w:t>
      </w:r>
      <w:r>
        <w:rPr>
          <w:color w:val="000000"/>
        </w:rPr>
        <w:br/>
      </w:r>
      <w:r>
        <w:rPr>
          <w:color w:val="000000"/>
          <w:w w:val="101"/>
        </w:rPr>
        <w:t>statute of frauds, does not m</w:t>
      </w:r>
      <w:r>
        <w:rPr>
          <w:color w:val="000000"/>
          <w:w w:val="101"/>
        </w:rPr>
        <w:t>erely serve an evi-</w:t>
      </w:r>
      <w:r>
        <w:rPr>
          <w:color w:val="000000"/>
          <w:w w:val="101"/>
        </w:rPr>
        <w:br/>
      </w:r>
      <w:r>
        <w:rPr>
          <w:color w:val="000000"/>
          <w:spacing w:val="-1"/>
        </w:rPr>
        <w:t>dentiary purpose; it determines the enforce-</w:t>
      </w:r>
    </w:p>
    <w:p w:rsidR="00491B30" w:rsidRDefault="00BA5DC6">
      <w:pPr>
        <w:spacing w:line="259" w:lineRule="exact"/>
        <w:ind w:left="898"/>
        <w:rPr>
          <w:color w:val="000000"/>
        </w:rPr>
      </w:pPr>
      <w:r>
        <w:rPr>
          <w:color w:val="000000"/>
        </w:rPr>
        <w:t xml:space="preserve">able and incontrovertible terms of an integrated written agreement. The purpose of the rule is </w:t>
      </w:r>
      <w:r>
        <w:rPr>
          <w:color w:val="000000"/>
          <w:w w:val="101"/>
        </w:rPr>
        <w:t xml:space="preserve">to ensure that the parties’ final understanding, </w:t>
      </w:r>
      <w:r>
        <w:rPr>
          <w:color w:val="000000"/>
        </w:rPr>
        <w:t>deliberately expressed in writing, is not sub-</w:t>
      </w:r>
      <w:r>
        <w:rPr>
          <w:color w:val="000000"/>
        </w:rPr>
        <w:br/>
      </w:r>
      <w:r>
        <w:rPr>
          <w:color w:val="000000"/>
        </w:rPr>
        <w:t>ject to change.</w:t>
      </w:r>
    </w:p>
    <w:p w:rsidR="00491B30" w:rsidRDefault="00BA5DC6">
      <w:pPr>
        <w:spacing w:before="246" w:line="276" w:lineRule="exact"/>
        <w:ind w:left="898"/>
        <w:rPr>
          <w:color w:val="000000"/>
          <w:spacing w:val="-1"/>
        </w:rPr>
      </w:pPr>
      <w:r>
        <w:rPr>
          <w:rFonts w:ascii="Times New Roman Bold Italic" w:hAnsi="Times New Roman Bold Italic"/>
          <w:color w:val="000000"/>
          <w:spacing w:val="-1"/>
        </w:rPr>
        <w:t>CA(3)</w:t>
      </w:r>
      <w:r>
        <w:rPr>
          <w:color w:val="000000"/>
          <w:spacing w:val="-1"/>
        </w:rPr>
        <w:t xml:space="preserve"> (3)</w:t>
      </w:r>
    </w:p>
    <w:p w:rsidR="00491B30" w:rsidRDefault="00BA5DC6">
      <w:pPr>
        <w:spacing w:line="230" w:lineRule="exact"/>
        <w:ind w:left="1098" w:right="376"/>
        <w:jc w:val="both"/>
        <w:rPr>
          <w:color w:val="000000"/>
          <w:sz w:val="20"/>
        </w:rPr>
      </w:pPr>
      <w:r>
        <w:rPr>
          <w:color w:val="000000"/>
          <w:sz w:val="20"/>
        </w:rPr>
        <w:t>Contracts § 27 &gt; Interpretation &gt; Parol Evidence Rule &gt; Exception &gt; Validity of Agreement in Dis-</w:t>
      </w:r>
      <w:r>
        <w:rPr>
          <w:color w:val="000000"/>
          <w:sz w:val="20"/>
        </w:rPr>
        <w:br/>
        <w:t>pute &gt; Fraud.</w:t>
      </w:r>
    </w:p>
    <w:p w:rsidR="00491B30" w:rsidRDefault="00BA5DC6">
      <w:pPr>
        <w:spacing w:before="184" w:line="259" w:lineRule="exact"/>
        <w:ind w:left="898"/>
        <w:jc w:val="both"/>
        <w:rPr>
          <w:color w:val="000000"/>
        </w:rPr>
      </w:pPr>
      <w:r>
        <w:rPr>
          <w:rFonts w:ascii="Times New Roman Italic" w:hAnsi="Times New Roman Italic"/>
          <w:color w:val="0000FF"/>
          <w:spacing w:val="-1"/>
          <w:u w:val="single"/>
        </w:rPr>
        <w:t xml:space="preserve"> Code Civ. Proc., § 1856, subd. (f)</w:t>
      </w:r>
      <w:r>
        <w:rPr>
          <w:color w:val="000000"/>
          <w:spacing w:val="-1"/>
        </w:rPr>
        <w:t>, which estab-</w:t>
      </w:r>
      <w:r>
        <w:rPr>
          <w:color w:val="000000"/>
          <w:spacing w:val="-1"/>
        </w:rPr>
        <w:br/>
      </w:r>
      <w:r>
        <w:rPr>
          <w:color w:val="000000"/>
        </w:rPr>
        <w:t>lishes a broad exception to the operation of</w:t>
      </w:r>
    </w:p>
    <w:p w:rsidR="00491B30" w:rsidRDefault="00BA5DC6">
      <w:pPr>
        <w:spacing w:line="259" w:lineRule="exact"/>
        <w:ind w:left="898"/>
        <w:jc w:val="both"/>
        <w:rPr>
          <w:color w:val="000000"/>
          <w:w w:val="101"/>
        </w:rPr>
      </w:pPr>
      <w:r>
        <w:rPr>
          <w:color w:val="000000"/>
        </w:rPr>
        <w:t>the parol evidence rule</w:t>
      </w:r>
      <w:r>
        <w:rPr>
          <w:color w:val="000000"/>
        </w:rPr>
        <w:t xml:space="preserve">, provides that where the </w:t>
      </w:r>
      <w:r>
        <w:rPr>
          <w:color w:val="000000"/>
          <w:w w:val="101"/>
        </w:rPr>
        <w:t>validity of the agreement is the fact in dis-</w:t>
      </w:r>
    </w:p>
    <w:p w:rsidR="00491B30" w:rsidRDefault="00BA5DC6">
      <w:pPr>
        <w:spacing w:line="259" w:lineRule="exact"/>
        <w:ind w:left="898"/>
        <w:rPr>
          <w:color w:val="000000"/>
        </w:rPr>
      </w:pPr>
      <w:r>
        <w:rPr>
          <w:color w:val="000000"/>
          <w:w w:val="101"/>
        </w:rPr>
        <w:t>pute,</w:t>
      </w:r>
      <w:r>
        <w:rPr>
          <w:rFonts w:ascii="Times New Roman Italic" w:hAnsi="Times New Roman Italic"/>
          <w:color w:val="0000FF"/>
          <w:w w:val="101"/>
        </w:rPr>
        <w:t xml:space="preserve"> </w:t>
      </w:r>
      <w:r>
        <w:rPr>
          <w:rFonts w:ascii="Times New Roman Italic" w:hAnsi="Times New Roman Italic"/>
          <w:color w:val="0000FF"/>
          <w:w w:val="101"/>
          <w:u w:val="single"/>
        </w:rPr>
        <w:t xml:space="preserve"> § 1856</w:t>
      </w:r>
      <w:r>
        <w:rPr>
          <w:color w:val="000000"/>
          <w:w w:val="101"/>
        </w:rPr>
        <w:t xml:space="preserve"> does not exclude evidence rel-</w:t>
      </w:r>
      <w:r>
        <w:rPr>
          <w:color w:val="000000"/>
          <w:w w:val="101"/>
        </w:rPr>
        <w:br/>
        <w:t xml:space="preserve">evant to that issue. This provision rests on the </w:t>
      </w:r>
      <w:r>
        <w:rPr>
          <w:color w:val="000000"/>
          <w:w w:val="101"/>
        </w:rPr>
        <w:br/>
      </w:r>
      <w:r>
        <w:rPr>
          <w:color w:val="000000"/>
          <w:spacing w:val="-4"/>
        </w:rPr>
        <w:t xml:space="preserve">principle that the parol evidence rule, intended to </w:t>
      </w:r>
      <w:r>
        <w:rPr>
          <w:color w:val="000000"/>
          <w:spacing w:val="-4"/>
        </w:rPr>
        <w:br/>
      </w:r>
      <w:r>
        <w:rPr>
          <w:color w:val="000000"/>
        </w:rPr>
        <w:t xml:space="preserve">protect the terms of a valid written contract, </w:t>
      </w:r>
      <w:r>
        <w:rPr>
          <w:color w:val="000000"/>
        </w:rPr>
        <w:br/>
        <w:t>should not bar evidence challenging the valid-</w:t>
      </w:r>
      <w:r>
        <w:rPr>
          <w:color w:val="000000"/>
        </w:rPr>
        <w:br/>
      </w:r>
      <w:r>
        <w:rPr>
          <w:color w:val="000000"/>
          <w:w w:val="105"/>
        </w:rPr>
        <w:t xml:space="preserve">ity of the agreement itself. Evidence to prove </w:t>
      </w:r>
      <w:r>
        <w:rPr>
          <w:color w:val="000000"/>
          <w:w w:val="105"/>
        </w:rPr>
        <w:br/>
      </w:r>
      <w:r>
        <w:rPr>
          <w:color w:val="000000"/>
          <w:spacing w:val="-1"/>
        </w:rPr>
        <w:t>that the instrument is void or voidable for mis-</w:t>
      </w:r>
      <w:r>
        <w:rPr>
          <w:color w:val="000000"/>
          <w:spacing w:val="-1"/>
        </w:rPr>
        <w:br/>
      </w:r>
      <w:r>
        <w:rPr>
          <w:color w:val="000000"/>
          <w:w w:val="102"/>
        </w:rPr>
        <w:t xml:space="preserve">take, fraud, duress, undue influence, illegality, </w:t>
      </w:r>
      <w:r>
        <w:rPr>
          <w:color w:val="000000"/>
          <w:w w:val="102"/>
        </w:rPr>
        <w:br/>
      </w:r>
      <w:r>
        <w:rPr>
          <w:color w:val="000000"/>
          <w:spacing w:val="-1"/>
        </w:rPr>
        <w:t>alteration, l</w:t>
      </w:r>
      <w:r>
        <w:rPr>
          <w:color w:val="000000"/>
          <w:spacing w:val="-1"/>
        </w:rPr>
        <w:t>ack of consideration, or another in-</w:t>
      </w:r>
      <w:r>
        <w:rPr>
          <w:color w:val="000000"/>
          <w:spacing w:val="-1"/>
        </w:rPr>
        <w:br/>
      </w:r>
      <w:r>
        <w:rPr>
          <w:color w:val="000000"/>
          <w:w w:val="105"/>
        </w:rPr>
        <w:t xml:space="preserve">validating cause is admissible. This evidence </w:t>
      </w:r>
      <w:r>
        <w:rPr>
          <w:color w:val="000000"/>
          <w:w w:val="105"/>
        </w:rPr>
        <w:br/>
      </w:r>
      <w:r>
        <w:rPr>
          <w:color w:val="000000"/>
          <w:spacing w:val="-3"/>
        </w:rPr>
        <w:t>does not contradict the terms of an effective in-</w:t>
      </w:r>
      <w:r>
        <w:rPr>
          <w:color w:val="000000"/>
          <w:spacing w:val="-3"/>
        </w:rPr>
        <w:br/>
        <w:t>tegration, because it shows that the purported in-</w:t>
      </w:r>
      <w:r>
        <w:rPr>
          <w:color w:val="000000"/>
          <w:spacing w:val="-3"/>
        </w:rPr>
        <w:br/>
      </w:r>
      <w:r>
        <w:rPr>
          <w:color w:val="000000"/>
        </w:rPr>
        <w:t>strument has no legal effect. The fraud excep-</w:t>
      </w:r>
      <w:r>
        <w:rPr>
          <w:color w:val="000000"/>
        </w:rPr>
        <w:br/>
      </w:r>
      <w:r>
        <w:rPr>
          <w:color w:val="000000"/>
          <w:w w:val="103"/>
        </w:rPr>
        <w:t>tion is expressly stated</w:t>
      </w:r>
      <w:r>
        <w:rPr>
          <w:color w:val="000000"/>
          <w:w w:val="103"/>
        </w:rPr>
        <w:t xml:space="preserve"> in</w:t>
      </w:r>
      <w:r>
        <w:rPr>
          <w:rFonts w:ascii="Times New Roman Italic" w:hAnsi="Times New Roman Italic"/>
          <w:color w:val="0000FF"/>
          <w:w w:val="103"/>
        </w:rPr>
        <w:t xml:space="preserve"> </w:t>
      </w:r>
      <w:r>
        <w:rPr>
          <w:rFonts w:ascii="Times New Roman Italic" w:hAnsi="Times New Roman Italic"/>
          <w:color w:val="0000FF"/>
          <w:w w:val="103"/>
          <w:u w:val="single"/>
        </w:rPr>
        <w:t xml:space="preserve"> § 1856, subd. (g)</w:t>
      </w:r>
      <w:r>
        <w:rPr>
          <w:color w:val="000000"/>
          <w:w w:val="103"/>
        </w:rPr>
        <w:t xml:space="preserve">. It </w:t>
      </w:r>
      <w:r>
        <w:rPr>
          <w:color w:val="000000"/>
          <w:w w:val="103"/>
        </w:rPr>
        <w:br/>
      </w:r>
      <w:r>
        <w:rPr>
          <w:color w:val="000000"/>
        </w:rPr>
        <w:t>provides that</w:t>
      </w:r>
      <w:r>
        <w:rPr>
          <w:rFonts w:ascii="Times New Roman Italic" w:hAnsi="Times New Roman Italic"/>
          <w:color w:val="0000FF"/>
        </w:rPr>
        <w:t xml:space="preserve"> </w:t>
      </w:r>
      <w:r>
        <w:rPr>
          <w:rFonts w:ascii="Times New Roman Italic" w:hAnsi="Times New Roman Italic"/>
          <w:color w:val="0000FF"/>
          <w:u w:val="single"/>
        </w:rPr>
        <w:t xml:space="preserve"> § 1856</w:t>
      </w:r>
      <w:r>
        <w:rPr>
          <w:color w:val="000000"/>
        </w:rPr>
        <w:t xml:space="preserve"> does not exclude other</w:t>
      </w:r>
    </w:p>
    <w:p w:rsidR="00491B30" w:rsidRDefault="00BA5DC6">
      <w:pPr>
        <w:spacing w:line="259" w:lineRule="exact"/>
        <w:ind w:left="898"/>
        <w:rPr>
          <w:color w:val="000000"/>
          <w:spacing w:val="-1"/>
        </w:rPr>
      </w:pPr>
      <w:r>
        <w:rPr>
          <w:color w:val="000000"/>
          <w:spacing w:val="-1"/>
        </w:rPr>
        <w:t>evidence to establish fraud.</w:t>
      </w:r>
    </w:p>
    <w:p w:rsidR="00491B30" w:rsidRDefault="00BA5DC6">
      <w:pPr>
        <w:spacing w:before="246" w:line="276" w:lineRule="exact"/>
        <w:ind w:left="898"/>
        <w:rPr>
          <w:color w:val="000000"/>
          <w:spacing w:val="-1"/>
        </w:rPr>
      </w:pPr>
      <w:r>
        <w:rPr>
          <w:rFonts w:ascii="Times New Roman Bold Italic" w:hAnsi="Times New Roman Bold Italic"/>
          <w:color w:val="000000"/>
          <w:spacing w:val="-1"/>
        </w:rPr>
        <w:t>CA(4)</w:t>
      </w:r>
      <w:r>
        <w:rPr>
          <w:color w:val="000000"/>
          <w:spacing w:val="-1"/>
        </w:rPr>
        <w:t xml:space="preserve"> (4)</w:t>
      </w:r>
    </w:p>
    <w:p w:rsidR="00491B30" w:rsidRDefault="00BA5DC6">
      <w:pPr>
        <w:spacing w:before="23" w:line="230" w:lineRule="exact"/>
        <w:ind w:left="220"/>
        <w:rPr>
          <w:color w:val="000000"/>
          <w:spacing w:val="-7"/>
          <w:sz w:val="20"/>
        </w:rPr>
      </w:pPr>
      <w:r>
        <w:rPr>
          <w:color w:val="000000"/>
          <w:spacing w:val="-1"/>
        </w:rPr>
        <w:br w:type="column"/>
      </w:r>
      <w:r>
        <w:rPr>
          <w:color w:val="000000"/>
          <w:spacing w:val="-7"/>
          <w:sz w:val="20"/>
        </w:rPr>
        <w:lastRenderedPageBreak/>
        <w:t>ity.</w:t>
      </w:r>
    </w:p>
    <w:p w:rsidR="00491B30" w:rsidRDefault="00BA5DC6">
      <w:pPr>
        <w:spacing w:before="166" w:line="259" w:lineRule="exact"/>
        <w:ind w:left="20" w:right="682"/>
        <w:rPr>
          <w:color w:val="000000"/>
          <w:spacing w:val="-1"/>
        </w:rPr>
      </w:pPr>
      <w:r>
        <w:rPr>
          <w:color w:val="000000"/>
        </w:rPr>
        <w:t>If a decision departed from an established gen-</w:t>
      </w:r>
      <w:r>
        <w:rPr>
          <w:color w:val="000000"/>
        </w:rPr>
        <w:br/>
        <w:t>eral rule without discussing the contrary au-</w:t>
      </w:r>
      <w:r>
        <w:rPr>
          <w:color w:val="000000"/>
        </w:rPr>
        <w:br/>
      </w:r>
      <w:r>
        <w:rPr>
          <w:color w:val="000000"/>
          <w:spacing w:val="-1"/>
        </w:rPr>
        <w:t xml:space="preserve">thority, its weight as precedent is </w:t>
      </w:r>
      <w:r>
        <w:rPr>
          <w:color w:val="000000"/>
          <w:spacing w:val="-1"/>
        </w:rPr>
        <w:t>diminished.</w:t>
      </w:r>
    </w:p>
    <w:p w:rsidR="00491B30" w:rsidRDefault="00BA5DC6">
      <w:pPr>
        <w:spacing w:before="246" w:line="276" w:lineRule="exact"/>
        <w:ind w:left="20"/>
        <w:rPr>
          <w:color w:val="000000"/>
          <w:spacing w:val="-1"/>
        </w:rPr>
      </w:pPr>
      <w:r>
        <w:rPr>
          <w:rFonts w:ascii="Times New Roman Bold Italic" w:hAnsi="Times New Roman Bold Italic"/>
          <w:color w:val="000000"/>
          <w:spacing w:val="-1"/>
        </w:rPr>
        <w:t>CA(5)</w:t>
      </w:r>
      <w:r>
        <w:rPr>
          <w:color w:val="000000"/>
          <w:spacing w:val="-1"/>
        </w:rPr>
        <w:t xml:space="preserve"> (5)</w:t>
      </w:r>
    </w:p>
    <w:p w:rsidR="00491B30" w:rsidRDefault="00BA5DC6">
      <w:pPr>
        <w:spacing w:before="21" w:line="230" w:lineRule="exact"/>
        <w:ind w:left="220"/>
        <w:rPr>
          <w:color w:val="000000"/>
          <w:sz w:val="20"/>
        </w:rPr>
      </w:pPr>
      <w:r>
        <w:rPr>
          <w:color w:val="000000"/>
          <w:sz w:val="20"/>
        </w:rPr>
        <w:t>Contracts § 6 &gt; Validity &gt; Fraud.</w:t>
      </w:r>
    </w:p>
    <w:p w:rsidR="00491B30" w:rsidRDefault="00BA5DC6">
      <w:pPr>
        <w:spacing w:before="166" w:line="259" w:lineRule="exact"/>
        <w:ind w:left="20" w:right="739"/>
        <w:jc w:val="both"/>
        <w:rPr>
          <w:color w:val="000000"/>
        </w:rPr>
      </w:pPr>
      <w:r>
        <w:rPr>
          <w:color w:val="000000"/>
        </w:rPr>
        <w:t>Fraud undermines the essential validity of an agreement. When fraud is proven, it cannot be maintained that the parties freely entered</w:t>
      </w:r>
    </w:p>
    <w:p w:rsidR="00491B30" w:rsidRDefault="00BA5DC6">
      <w:pPr>
        <w:spacing w:before="1" w:line="259" w:lineRule="exact"/>
        <w:ind w:left="20" w:right="868"/>
        <w:jc w:val="both"/>
        <w:rPr>
          <w:color w:val="000000"/>
          <w:spacing w:val="-3"/>
        </w:rPr>
      </w:pPr>
      <w:r>
        <w:rPr>
          <w:color w:val="000000"/>
        </w:rPr>
        <w:t xml:space="preserve">into an agreement reflecting a meeting of the </w:t>
      </w:r>
      <w:r>
        <w:rPr>
          <w:color w:val="000000"/>
          <w:spacing w:val="-3"/>
        </w:rPr>
        <w:t>minds.</w:t>
      </w:r>
    </w:p>
    <w:p w:rsidR="00491B30" w:rsidRDefault="00BA5DC6">
      <w:pPr>
        <w:spacing w:before="246" w:line="276" w:lineRule="exact"/>
        <w:ind w:left="20"/>
        <w:rPr>
          <w:color w:val="000000"/>
          <w:spacing w:val="-1"/>
        </w:rPr>
      </w:pPr>
      <w:r>
        <w:rPr>
          <w:rFonts w:ascii="Times New Roman Bold Italic" w:hAnsi="Times New Roman Bold Italic"/>
          <w:color w:val="000000"/>
          <w:spacing w:val="-1"/>
        </w:rPr>
        <w:t>CA(6)</w:t>
      </w:r>
      <w:r>
        <w:rPr>
          <w:color w:val="000000"/>
          <w:spacing w:val="-1"/>
        </w:rPr>
        <w:t xml:space="preserve"> (6)</w:t>
      </w:r>
    </w:p>
    <w:p w:rsidR="00491B30" w:rsidRDefault="00BA5DC6">
      <w:pPr>
        <w:spacing w:line="230" w:lineRule="exact"/>
        <w:ind w:left="220" w:right="901"/>
        <w:rPr>
          <w:color w:val="000000"/>
          <w:spacing w:val="-2"/>
          <w:sz w:val="20"/>
        </w:rPr>
      </w:pPr>
      <w:r>
        <w:rPr>
          <w:color w:val="000000"/>
          <w:sz w:val="20"/>
        </w:rPr>
        <w:t xml:space="preserve">Contracts § 27 &gt; Interpretation &gt; Parol Evidence </w:t>
      </w:r>
      <w:r>
        <w:rPr>
          <w:color w:val="000000"/>
          <w:sz w:val="20"/>
        </w:rPr>
        <w:br/>
        <w:t xml:space="preserve">Rule &gt; Limitation on Fraud Exception &gt; Fraudulent </w:t>
      </w:r>
      <w:r>
        <w:rPr>
          <w:color w:val="000000"/>
          <w:sz w:val="20"/>
        </w:rPr>
        <w:br/>
      </w:r>
      <w:r>
        <w:rPr>
          <w:color w:val="000000"/>
          <w:spacing w:val="-2"/>
          <w:sz w:val="20"/>
        </w:rPr>
        <w:t>Conduct.</w:t>
      </w:r>
    </w:p>
    <w:p w:rsidR="00491B30" w:rsidRDefault="00BA5DC6">
      <w:pPr>
        <w:spacing w:before="154" w:line="259" w:lineRule="exact"/>
        <w:ind w:left="20" w:right="639"/>
        <w:rPr>
          <w:color w:val="000000"/>
        </w:rPr>
      </w:pPr>
      <w:r>
        <w:rPr>
          <w:color w:val="000000"/>
          <w:spacing w:val="-4"/>
        </w:rPr>
        <w:t>In a case in which borrowers sued a lender, seek-</w:t>
      </w:r>
      <w:r>
        <w:rPr>
          <w:color w:val="000000"/>
          <w:spacing w:val="-4"/>
        </w:rPr>
        <w:br/>
      </w:r>
      <w:r>
        <w:rPr>
          <w:color w:val="000000"/>
          <w:spacing w:val="-1"/>
        </w:rPr>
        <w:t>ing damages for fraud and negligent misrepre-</w:t>
      </w:r>
      <w:r>
        <w:rPr>
          <w:color w:val="000000"/>
          <w:spacing w:val="-1"/>
        </w:rPr>
        <w:br/>
        <w:t xml:space="preserve">sentation, the Supreme Court concluded that </w:t>
      </w:r>
      <w:r>
        <w:rPr>
          <w:color w:val="000000"/>
        </w:rPr>
        <w:t>the</w:t>
      </w:r>
      <w:r>
        <w:rPr>
          <w:rFonts w:ascii="Times New Roman Italic" w:hAnsi="Times New Roman Italic"/>
          <w:color w:val="000000"/>
        </w:rPr>
        <w:t xml:space="preserve"> Pe</w:t>
      </w:r>
      <w:r>
        <w:rPr>
          <w:rFonts w:ascii="Times New Roman Italic" w:hAnsi="Times New Roman Italic"/>
          <w:color w:val="000000"/>
        </w:rPr>
        <w:t>ndergrass</w:t>
      </w:r>
      <w:r>
        <w:rPr>
          <w:color w:val="000000"/>
        </w:rPr>
        <w:t xml:space="preserve"> rule, which adopted a limita-</w:t>
      </w:r>
      <w:r>
        <w:rPr>
          <w:color w:val="000000"/>
        </w:rPr>
        <w:br/>
      </w:r>
      <w:r>
        <w:rPr>
          <w:color w:val="000000"/>
          <w:w w:val="108"/>
        </w:rPr>
        <w:t>tion on the fraud exception to the parol evi-</w:t>
      </w:r>
      <w:r>
        <w:rPr>
          <w:color w:val="000000"/>
          <w:w w:val="108"/>
        </w:rPr>
        <w:br/>
      </w:r>
      <w:r>
        <w:rPr>
          <w:color w:val="000000"/>
          <w:spacing w:val="-1"/>
        </w:rPr>
        <w:t xml:space="preserve">dence rule </w:t>
      </w:r>
      <w:r>
        <w:rPr>
          <w:rFonts w:ascii="Times New Roman Bold" w:hAnsi="Times New Roman Bold"/>
          <w:color w:val="000000"/>
        </w:rPr>
        <w:t>[*1171]</w:t>
      </w:r>
      <w:r>
        <w:rPr>
          <w:color w:val="000000"/>
        </w:rPr>
        <w:t xml:space="preserve">  was an aberration. The</w:t>
      </w:r>
    </w:p>
    <w:p w:rsidR="00491B30" w:rsidRDefault="00BA5DC6">
      <w:pPr>
        <w:spacing w:before="1" w:line="259" w:lineRule="exact"/>
        <w:ind w:left="20" w:right="639"/>
        <w:jc w:val="both"/>
        <w:rPr>
          <w:color w:val="000000"/>
        </w:rPr>
      </w:pPr>
      <w:r>
        <w:rPr>
          <w:rFonts w:ascii="Times New Roman Italic" w:hAnsi="Times New Roman Italic"/>
          <w:color w:val="000000"/>
          <w:spacing w:val="-1"/>
        </w:rPr>
        <w:t>Pendergrass</w:t>
      </w:r>
      <w:r>
        <w:rPr>
          <w:color w:val="000000"/>
          <w:spacing w:val="-1"/>
        </w:rPr>
        <w:t xml:space="preserve"> rule purported to follow</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Code Civ. </w:t>
      </w:r>
      <w:r>
        <w:rPr>
          <w:rFonts w:ascii="Times New Roman Italic" w:hAnsi="Times New Roman Italic"/>
          <w:color w:val="0000FF"/>
          <w:spacing w:val="-1"/>
          <w:u w:val="single"/>
        </w:rPr>
        <w:br/>
      </w:r>
      <w:r>
        <w:rPr>
          <w:rFonts w:ascii="Times New Roman Italic" w:hAnsi="Times New Roman Italic"/>
          <w:color w:val="0000FF"/>
          <w:w w:val="101"/>
          <w:u w:val="single"/>
        </w:rPr>
        <w:t>Proc., § 1856</w:t>
      </w:r>
      <w:r>
        <w:rPr>
          <w:color w:val="000000"/>
          <w:w w:val="101"/>
        </w:rPr>
        <w:t xml:space="preserve">, but its restriction on the fraud </w:t>
      </w:r>
      <w:r>
        <w:rPr>
          <w:color w:val="000000"/>
          <w:w w:val="101"/>
        </w:rPr>
        <w:br/>
      </w:r>
      <w:r>
        <w:rPr>
          <w:color w:val="000000"/>
          <w:spacing w:val="-2"/>
        </w:rPr>
        <w:t xml:space="preserve">exception was inconsistent with the terms of the </w:t>
      </w:r>
      <w:r>
        <w:rPr>
          <w:color w:val="000000"/>
          <w:spacing w:val="-2"/>
        </w:rPr>
        <w:br/>
      </w:r>
      <w:r>
        <w:rPr>
          <w:color w:val="000000"/>
          <w:w w:val="101"/>
        </w:rPr>
        <w:t xml:space="preserve">statute, and with settled case law as well. The </w:t>
      </w:r>
      <w:r>
        <w:rPr>
          <w:color w:val="000000"/>
          <w:w w:val="101"/>
        </w:rPr>
        <w:br/>
      </w:r>
      <w:r>
        <w:rPr>
          <w:color w:val="000000"/>
          <w:w w:val="110"/>
        </w:rPr>
        <w:t xml:space="preserve">parol evidence rule should not be used as a </w:t>
      </w:r>
      <w:r>
        <w:rPr>
          <w:color w:val="000000"/>
          <w:w w:val="110"/>
        </w:rPr>
        <w:br/>
      </w:r>
      <w:r>
        <w:rPr>
          <w:color w:val="000000"/>
        </w:rPr>
        <w:t>shield to prevent the proof of fraud. (Disap-</w:t>
      </w:r>
    </w:p>
    <w:p w:rsidR="00491B30" w:rsidRDefault="00BA5DC6">
      <w:pPr>
        <w:spacing w:line="259" w:lineRule="exact"/>
        <w:ind w:left="20" w:right="759"/>
        <w:jc w:val="both"/>
        <w:rPr>
          <w:color w:val="000000"/>
        </w:rPr>
      </w:pPr>
      <w:r>
        <w:rPr>
          <w:color w:val="000000"/>
          <w:spacing w:val="-1"/>
        </w:rPr>
        <w:t>proving</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Bank of America etc. Assn. v. Pender-</w:t>
      </w:r>
      <w:r>
        <w:rPr>
          <w:rFonts w:ascii="Times New Roman Italic" w:hAnsi="Times New Roman Italic"/>
          <w:color w:val="0000FF"/>
          <w:spacing w:val="-1"/>
          <w:u w:val="single"/>
        </w:rPr>
        <w:br/>
      </w:r>
      <w:r>
        <w:rPr>
          <w:rFonts w:ascii="Times New Roman Italic" w:hAnsi="Times New Roman Italic"/>
          <w:color w:val="0000FF"/>
          <w:u w:val="single"/>
        </w:rPr>
        <w:t>grass</w:t>
      </w:r>
      <w:r>
        <w:rPr>
          <w:color w:val="0000FF"/>
          <w:u w:val="single"/>
        </w:rPr>
        <w:t xml:space="preserve">  (1935) 4 Cal</w:t>
      </w:r>
      <w:r>
        <w:rPr>
          <w:color w:val="0000FF"/>
          <w:u w:val="single"/>
        </w:rPr>
        <w:t>.2d 258 [48 P.2d 659]</w:t>
      </w:r>
      <w:r>
        <w:rPr>
          <w:color w:val="000000"/>
        </w:rPr>
        <w:t>.)</w:t>
      </w:r>
    </w:p>
    <w:p w:rsidR="00491B30" w:rsidRDefault="00BA5DC6">
      <w:pPr>
        <w:spacing w:before="200" w:line="259" w:lineRule="exact"/>
        <w:ind w:left="20" w:right="640"/>
        <w:jc w:val="both"/>
        <w:rPr>
          <w:color w:val="000000"/>
          <w:spacing w:val="-1"/>
        </w:rPr>
      </w:pPr>
      <w:r>
        <w:rPr>
          <w:color w:val="000000"/>
        </w:rPr>
        <w:t>[</w:t>
      </w:r>
      <w:r>
        <w:rPr>
          <w:rFonts w:ascii="Times New Roman Italic" w:hAnsi="Times New Roman Italic"/>
          <w:color w:val="0000FF"/>
          <w:u w:val="single"/>
        </w:rPr>
        <w:t xml:space="preserve"> Cal. Forms of Pleading and Practice (2012) </w:t>
      </w:r>
      <w:r>
        <w:rPr>
          <w:rFonts w:ascii="Times New Roman Italic" w:hAnsi="Times New Roman Italic"/>
          <w:color w:val="0000FF"/>
          <w:u w:val="single"/>
        </w:rPr>
        <w:br/>
      </w:r>
      <w:r>
        <w:rPr>
          <w:rFonts w:ascii="Times New Roman Italic" w:hAnsi="Times New Roman Italic"/>
          <w:color w:val="0000FF"/>
          <w:w w:val="102"/>
          <w:u w:val="single"/>
        </w:rPr>
        <w:t>ch. 140, Contracts, § 140.31</w:t>
      </w:r>
      <w:r>
        <w:rPr>
          <w:color w:val="000000"/>
          <w:w w:val="102"/>
        </w:rPr>
        <w:t>; 1 Witkin, Sum-</w:t>
      </w:r>
      <w:r>
        <w:rPr>
          <w:color w:val="000000"/>
          <w:w w:val="102"/>
        </w:rPr>
        <w:br/>
      </w:r>
      <w:r>
        <w:rPr>
          <w:color w:val="000000"/>
        </w:rPr>
        <w:t xml:space="preserve">mary of Cal. Law (10th ed. 2005) Contracts, </w:t>
      </w:r>
      <w:r>
        <w:rPr>
          <w:color w:val="000000"/>
        </w:rPr>
        <w:br/>
      </w:r>
      <w:r>
        <w:rPr>
          <w:color w:val="000000"/>
          <w:spacing w:val="-3"/>
        </w:rPr>
        <w:t xml:space="preserve">§ 301; 5 Witkin, Summary of Cal. Law (10th ed. </w:t>
      </w:r>
      <w:r>
        <w:rPr>
          <w:color w:val="000000"/>
          <w:spacing w:val="-3"/>
        </w:rPr>
        <w:br/>
      </w:r>
      <w:r>
        <w:rPr>
          <w:color w:val="000000"/>
          <w:spacing w:val="-1"/>
        </w:rPr>
        <w:t>2005) Torts, § 781; 2 Witkin, Cal. Evidence</w:t>
      </w:r>
    </w:p>
    <w:p w:rsidR="00491B30" w:rsidRDefault="00BA5DC6">
      <w:pPr>
        <w:spacing w:line="259" w:lineRule="exact"/>
        <w:ind w:left="20" w:right="721"/>
        <w:jc w:val="both"/>
        <w:rPr>
          <w:color w:val="000000"/>
          <w:spacing w:val="-1"/>
        </w:rPr>
      </w:pPr>
      <w:r>
        <w:rPr>
          <w:color w:val="000000"/>
        </w:rPr>
        <w:t xml:space="preserve">(5th ed. 2012) Documentary Evidence, § 97; 9 </w:t>
      </w:r>
      <w:r>
        <w:rPr>
          <w:color w:val="000000"/>
          <w:spacing w:val="-1"/>
        </w:rPr>
        <w:t>Witkin, Cal. Procedure (5th ed. 2008) Ap-</w:t>
      </w:r>
    </w:p>
    <w:p w:rsidR="00491B30" w:rsidRDefault="00BA5DC6">
      <w:pPr>
        <w:spacing w:before="1" w:line="259" w:lineRule="exact"/>
        <w:ind w:left="20"/>
        <w:rPr>
          <w:color w:val="000000"/>
        </w:rPr>
      </w:pPr>
      <w:r>
        <w:rPr>
          <w:color w:val="000000"/>
        </w:rPr>
        <w:t>peal, § 537.]</w:t>
      </w:r>
    </w:p>
    <w:p w:rsidR="00491B30" w:rsidRDefault="00BA5DC6">
      <w:pPr>
        <w:spacing w:before="246" w:line="276" w:lineRule="exact"/>
        <w:ind w:left="20"/>
        <w:rPr>
          <w:color w:val="000000"/>
          <w:spacing w:val="-1"/>
        </w:rPr>
      </w:pPr>
      <w:r>
        <w:rPr>
          <w:rFonts w:ascii="Times New Roman Bold Italic" w:hAnsi="Times New Roman Bold Italic"/>
          <w:color w:val="000000"/>
          <w:spacing w:val="-1"/>
        </w:rPr>
        <w:t>CA(7)</w:t>
      </w:r>
      <w:r>
        <w:rPr>
          <w:color w:val="000000"/>
          <w:spacing w:val="-1"/>
        </w:rPr>
        <w:t xml:space="preserve"> (7)</w:t>
      </w:r>
    </w:p>
    <w:p w:rsidR="00491B30" w:rsidRDefault="00BA5DC6">
      <w:pPr>
        <w:spacing w:line="237" w:lineRule="exact"/>
        <w:ind w:left="220" w:right="878"/>
        <w:jc w:val="both"/>
        <w:rPr>
          <w:color w:val="000000"/>
          <w:spacing w:val="-1"/>
          <w:sz w:val="20"/>
        </w:rPr>
      </w:pPr>
      <w:r>
        <w:rPr>
          <w:color w:val="000000"/>
          <w:sz w:val="20"/>
        </w:rPr>
        <w:t xml:space="preserve">Fraud § 1 &gt; Allegedly Fraudulent Promise &gt; Statute </w:t>
      </w:r>
      <w:r>
        <w:rPr>
          <w:color w:val="000000"/>
          <w:spacing w:val="-1"/>
          <w:sz w:val="20"/>
        </w:rPr>
        <w:t>of Frauds.</w:t>
      </w:r>
    </w:p>
    <w:p w:rsidR="00491B30" w:rsidRDefault="00BA5DC6">
      <w:pPr>
        <w:spacing w:before="152" w:line="259" w:lineRule="exact"/>
        <w:ind w:left="20" w:right="639"/>
        <w:jc w:val="both"/>
        <w:rPr>
          <w:color w:val="000000"/>
          <w:w w:val="101"/>
        </w:rPr>
      </w:pPr>
      <w:r>
        <w:rPr>
          <w:color w:val="000000"/>
        </w:rPr>
        <w:t xml:space="preserve">A fraud action is not barred when the allegedly </w:t>
      </w:r>
      <w:r>
        <w:rPr>
          <w:color w:val="000000"/>
          <w:spacing w:val="-1"/>
        </w:rPr>
        <w:t xml:space="preserve">fraudulent promise is unenforceable under the </w:t>
      </w:r>
      <w:r>
        <w:rPr>
          <w:color w:val="000000"/>
          <w:spacing w:val="-5"/>
        </w:rPr>
        <w:t xml:space="preserve">statute of frauds. A rule intended to prevent fraud </w:t>
      </w:r>
      <w:r>
        <w:rPr>
          <w:color w:val="000000"/>
          <w:w w:val="101"/>
        </w:rPr>
        <w:t xml:space="preserve">should not be applied so as to facilitate </w:t>
      </w:r>
    </w:p>
    <w:p w:rsidR="00491B30" w:rsidRDefault="00491B30">
      <w:pPr>
        <w:rPr>
          <w:color w:val="000000"/>
          <w:w w:val="101"/>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30" w:lineRule="exact"/>
        <w:ind w:left="5183"/>
        <w:rPr>
          <w:color w:val="000000"/>
          <w:w w:val="101"/>
        </w:rPr>
      </w:pPr>
    </w:p>
    <w:p w:rsidR="00491B30" w:rsidRDefault="00BA5DC6">
      <w:pPr>
        <w:spacing w:before="50" w:line="230" w:lineRule="exact"/>
        <w:ind w:left="5183"/>
        <w:rPr>
          <w:color w:val="000000"/>
          <w:spacing w:val="-1"/>
          <w:sz w:val="20"/>
        </w:rPr>
      </w:pPr>
      <w:r>
        <w:rPr>
          <w:color w:val="000000"/>
          <w:spacing w:val="-1"/>
          <w:sz w:val="20"/>
        </w:rPr>
        <w:t xml:space="preserve">Charles Cox </w: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83"/>
        <w:rPr>
          <w:color w:val="000000"/>
          <w:sz w:val="20"/>
        </w:rPr>
      </w:pPr>
      <w:bookmarkStart w:id="5" w:name="Pg6"/>
      <w:bookmarkEnd w:id="5"/>
      <w:r>
        <w:rPr>
          <w:color w:val="000000"/>
          <w:sz w:val="20"/>
        </w:rPr>
        <w:lastRenderedPageBreak/>
        <w:t>55 Cal. 4th 1169, *1171; 2013 Cal. LEXIS 253, **1</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76" w:lineRule="exact"/>
        <w:ind w:left="898"/>
        <w:rPr>
          <w:color w:val="000000"/>
          <w:sz w:val="20"/>
        </w:rPr>
      </w:pPr>
    </w:p>
    <w:p w:rsidR="00491B30" w:rsidRDefault="00BA5DC6">
      <w:pPr>
        <w:spacing w:before="249" w:line="276" w:lineRule="exact"/>
        <w:ind w:left="898"/>
        <w:rPr>
          <w:color w:val="000000"/>
          <w:spacing w:val="-3"/>
        </w:rPr>
      </w:pPr>
      <w:r>
        <w:rPr>
          <w:color w:val="000000"/>
          <w:spacing w:val="-3"/>
        </w:rPr>
        <w:t>fraud.</w:t>
      </w:r>
    </w:p>
    <w:p w:rsidR="00491B30" w:rsidRDefault="00BA5DC6">
      <w:pPr>
        <w:spacing w:before="243" w:line="276" w:lineRule="exact"/>
        <w:ind w:left="898"/>
        <w:rPr>
          <w:color w:val="000000"/>
          <w:spacing w:val="-1"/>
        </w:rPr>
      </w:pPr>
      <w:r>
        <w:rPr>
          <w:rFonts w:ascii="Times New Roman Bold Italic" w:hAnsi="Times New Roman Bold Italic"/>
          <w:color w:val="000000"/>
          <w:spacing w:val="-1"/>
        </w:rPr>
        <w:t>CA(8)</w:t>
      </w:r>
      <w:r>
        <w:rPr>
          <w:color w:val="000000"/>
          <w:spacing w:val="-1"/>
        </w:rPr>
        <w:t xml:space="preserve"> (8)</w:t>
      </w:r>
    </w:p>
    <w:p w:rsidR="00491B30" w:rsidRDefault="00BA5DC6">
      <w:pPr>
        <w:spacing w:before="22" w:line="230" w:lineRule="exact"/>
        <w:ind w:left="1098"/>
        <w:rPr>
          <w:color w:val="000000"/>
          <w:sz w:val="20"/>
        </w:rPr>
      </w:pPr>
      <w:r>
        <w:rPr>
          <w:color w:val="000000"/>
          <w:sz w:val="20"/>
        </w:rPr>
        <w:t>Fraud § 12 &gt; Promissory &gt; Justifiable Reliance.</w:t>
      </w:r>
    </w:p>
    <w:p w:rsidR="00491B30" w:rsidRDefault="00BA5DC6">
      <w:pPr>
        <w:spacing w:before="186" w:line="259" w:lineRule="exact"/>
        <w:ind w:left="898" w:right="139"/>
        <w:jc w:val="both"/>
        <w:rPr>
          <w:color w:val="000000"/>
          <w:spacing w:val="-2"/>
        </w:rPr>
      </w:pPr>
      <w:r>
        <w:rPr>
          <w:color w:val="000000"/>
        </w:rPr>
        <w:t>Promissory fraud, like all forms of fraud, re-</w:t>
      </w:r>
      <w:r>
        <w:rPr>
          <w:color w:val="000000"/>
        </w:rPr>
        <w:br/>
        <w:t xml:space="preserve">quires a showing of justifiable reliance on the </w:t>
      </w:r>
      <w:r>
        <w:rPr>
          <w:color w:val="000000"/>
          <w:spacing w:val="-2"/>
        </w:rPr>
        <w:t>defendant’s misrepresentation.</w:t>
      </w:r>
    </w:p>
    <w:p w:rsidR="00491B30" w:rsidRDefault="00BA5DC6">
      <w:pPr>
        <w:spacing w:before="259" w:line="259" w:lineRule="exact"/>
        <w:ind w:left="898" w:right="48"/>
        <w:jc w:val="both"/>
        <w:rPr>
          <w:color w:val="000000"/>
          <w:spacing w:val="-1"/>
        </w:rPr>
      </w:pPr>
      <w:r>
        <w:rPr>
          <w:rFonts w:ascii="Times New Roman Bold" w:hAnsi="Times New Roman Bold"/>
          <w:color w:val="000000"/>
          <w:spacing w:val="-2"/>
        </w:rPr>
        <w:t>Counsel:</w:t>
      </w:r>
      <w:r>
        <w:rPr>
          <w:color w:val="000000"/>
          <w:spacing w:val="-2"/>
        </w:rPr>
        <w:t xml:space="preserve"> LaMontagne &amp; Terhar, Eric A. Ama-</w:t>
      </w:r>
      <w:r>
        <w:rPr>
          <w:color w:val="000000"/>
          <w:spacing w:val="-2"/>
        </w:rPr>
        <w:br/>
      </w:r>
      <w:r>
        <w:rPr>
          <w:color w:val="000000"/>
        </w:rPr>
        <w:t xml:space="preserve">dor; </w:t>
      </w:r>
      <w:r>
        <w:rPr>
          <w:color w:val="000000"/>
        </w:rPr>
        <w:t>Wild, Carter &amp; Tipton and Steven E. Pa-</w:t>
      </w:r>
      <w:r>
        <w:rPr>
          <w:color w:val="000000"/>
        </w:rPr>
        <w:br/>
      </w:r>
      <w:r>
        <w:rPr>
          <w:color w:val="000000"/>
          <w:spacing w:val="-1"/>
        </w:rPr>
        <w:t>ganetti for Plaintiffs and Appellants.</w:t>
      </w:r>
    </w:p>
    <w:p w:rsidR="00491B30" w:rsidRDefault="00491B30">
      <w:pPr>
        <w:spacing w:line="259" w:lineRule="exact"/>
        <w:ind w:left="898"/>
        <w:jc w:val="both"/>
        <w:rPr>
          <w:color w:val="000000"/>
          <w:spacing w:val="-1"/>
        </w:rPr>
      </w:pPr>
    </w:p>
    <w:p w:rsidR="00491B30" w:rsidRDefault="00BA5DC6">
      <w:pPr>
        <w:spacing w:before="1" w:line="259" w:lineRule="exact"/>
        <w:ind w:left="898" w:right="156"/>
        <w:jc w:val="both"/>
        <w:rPr>
          <w:color w:val="000000"/>
          <w:spacing w:val="-1"/>
        </w:rPr>
      </w:pPr>
      <w:r>
        <w:rPr>
          <w:color w:val="000000"/>
        </w:rPr>
        <w:t xml:space="preserve">Lang Richert &amp; Patch, Scott J. Ivy, Ana de </w:t>
      </w:r>
      <w:r>
        <w:rPr>
          <w:color w:val="000000"/>
          <w:spacing w:val="-1"/>
        </w:rPr>
        <w:t>Alba; Dowling, Aaron &amp; Keeler, Nickolas J. Dibiaso and Lynne Thaxter Brown for Defen-</w:t>
      </w:r>
      <w:r>
        <w:rPr>
          <w:color w:val="000000"/>
          <w:spacing w:val="-1"/>
        </w:rPr>
        <w:br/>
        <w:t>dant and Respondent.</w:t>
      </w:r>
    </w:p>
    <w:p w:rsidR="00491B30" w:rsidRDefault="00491B30">
      <w:pPr>
        <w:spacing w:line="259" w:lineRule="exact"/>
        <w:ind w:left="898"/>
        <w:jc w:val="both"/>
        <w:rPr>
          <w:color w:val="000000"/>
          <w:spacing w:val="-1"/>
        </w:rPr>
      </w:pPr>
    </w:p>
    <w:p w:rsidR="00491B30" w:rsidRDefault="00BA5DC6">
      <w:pPr>
        <w:spacing w:before="1" w:line="259" w:lineRule="exact"/>
        <w:ind w:left="898"/>
        <w:jc w:val="both"/>
        <w:rPr>
          <w:color w:val="000000"/>
        </w:rPr>
      </w:pPr>
      <w:r>
        <w:rPr>
          <w:color w:val="000000"/>
        </w:rPr>
        <w:t>Reed Smith, Peter S. Muño</w:t>
      </w:r>
      <w:r>
        <w:rPr>
          <w:color w:val="000000"/>
        </w:rPr>
        <w:t>z, Raymond A. Car-</w:t>
      </w:r>
      <w:r>
        <w:rPr>
          <w:color w:val="000000"/>
        </w:rPr>
        <w:br/>
        <w:t>dozo and Dennis Peter Maio for California</w:t>
      </w:r>
    </w:p>
    <w:p w:rsidR="00491B30" w:rsidRDefault="00BA5DC6">
      <w:pPr>
        <w:spacing w:line="259" w:lineRule="exact"/>
        <w:ind w:left="898" w:right="164"/>
        <w:jc w:val="both"/>
        <w:rPr>
          <w:color w:val="000000"/>
          <w:spacing w:val="-1"/>
        </w:rPr>
      </w:pPr>
      <w:r>
        <w:rPr>
          <w:color w:val="000000"/>
          <w:spacing w:val="-1"/>
        </w:rPr>
        <w:t>Bankers Association as Amicus Curiae on be-</w:t>
      </w:r>
      <w:r>
        <w:rPr>
          <w:color w:val="000000"/>
          <w:spacing w:val="-1"/>
        </w:rPr>
        <w:br/>
        <w:t>half of Defendant and Respondent.</w:t>
      </w:r>
    </w:p>
    <w:p w:rsidR="00491B30" w:rsidRDefault="00BA5DC6">
      <w:pPr>
        <w:spacing w:before="245" w:line="276" w:lineRule="exact"/>
        <w:ind w:left="898"/>
        <w:rPr>
          <w:color w:val="000000"/>
        </w:rPr>
      </w:pPr>
      <w:r>
        <w:rPr>
          <w:color w:val="000000"/>
        </w:rPr>
        <w:t>Downey Brand, Daniel J. Coyle and Cassandra</w:t>
      </w:r>
    </w:p>
    <w:p w:rsidR="00491B30" w:rsidRDefault="00BA5DC6">
      <w:pPr>
        <w:spacing w:line="259" w:lineRule="exact"/>
        <w:ind w:left="898" w:right="52"/>
        <w:jc w:val="both"/>
        <w:rPr>
          <w:color w:val="000000"/>
          <w:spacing w:val="-1"/>
        </w:rPr>
      </w:pPr>
      <w:r>
        <w:rPr>
          <w:color w:val="000000"/>
          <w:spacing w:val="-2"/>
        </w:rPr>
        <w:t xml:space="preserve">M. Ferrannini for American AgCredit, ACA, </w:t>
      </w:r>
      <w:r>
        <w:rPr>
          <w:color w:val="000000"/>
          <w:spacing w:val="-2"/>
        </w:rPr>
        <w:br/>
      </w:r>
      <w:r>
        <w:rPr>
          <w:color w:val="000000"/>
          <w:w w:val="101"/>
        </w:rPr>
        <w:t xml:space="preserve">CoBank,  Farm  Credit  </w:t>
      </w:r>
      <w:r>
        <w:rPr>
          <w:color w:val="000000"/>
          <w:w w:val="101"/>
        </w:rPr>
        <w:t>Services  of  Colusa-</w:t>
      </w:r>
      <w:r>
        <w:rPr>
          <w:color w:val="000000"/>
          <w:w w:val="101"/>
        </w:rPr>
        <w:br/>
        <w:t>Glenn, ACA, Farm Credit West, ACA, North-</w:t>
      </w:r>
      <w:r>
        <w:rPr>
          <w:color w:val="000000"/>
          <w:w w:val="101"/>
        </w:rPr>
        <w:br/>
      </w:r>
      <w:r>
        <w:rPr>
          <w:color w:val="000000"/>
          <w:spacing w:val="-1"/>
        </w:rPr>
        <w:t>ern California Farm Credit, ACA, U.S. Ag-</w:t>
      </w:r>
    </w:p>
    <w:p w:rsidR="00491B30" w:rsidRDefault="00BA5DC6">
      <w:pPr>
        <w:spacing w:line="259" w:lineRule="exact"/>
        <w:ind w:left="898"/>
        <w:jc w:val="both"/>
        <w:rPr>
          <w:color w:val="000000"/>
          <w:spacing w:val="-3"/>
        </w:rPr>
      </w:pPr>
      <w:r>
        <w:rPr>
          <w:color w:val="000000"/>
          <w:spacing w:val="-1"/>
        </w:rPr>
        <w:t xml:space="preserve">Bank, FCB, and Yosemite Farm Credit, ACA, </w:t>
      </w:r>
      <w:r>
        <w:rPr>
          <w:color w:val="000000"/>
          <w:spacing w:val="-2"/>
        </w:rPr>
        <w:t>as Amici Curiae on behalf of Defendant and Re-</w:t>
      </w:r>
      <w:r>
        <w:rPr>
          <w:color w:val="000000"/>
          <w:spacing w:val="-2"/>
        </w:rPr>
        <w:br/>
      </w:r>
      <w:r>
        <w:rPr>
          <w:color w:val="000000"/>
          <w:spacing w:val="-3"/>
        </w:rPr>
        <w:t>spondent.</w:t>
      </w:r>
    </w:p>
    <w:p w:rsidR="00491B30" w:rsidRDefault="00491B30">
      <w:pPr>
        <w:spacing w:line="259" w:lineRule="exact"/>
        <w:ind w:left="898"/>
        <w:jc w:val="both"/>
        <w:rPr>
          <w:color w:val="000000"/>
          <w:spacing w:val="-3"/>
        </w:rPr>
      </w:pPr>
    </w:p>
    <w:p w:rsidR="00491B30" w:rsidRDefault="00BA5DC6">
      <w:pPr>
        <w:spacing w:before="1" w:line="259" w:lineRule="exact"/>
        <w:ind w:left="898" w:right="303"/>
        <w:jc w:val="both"/>
        <w:rPr>
          <w:color w:val="000000"/>
        </w:rPr>
      </w:pPr>
      <w:r>
        <w:rPr>
          <w:rFonts w:ascii="Times New Roman Bold" w:hAnsi="Times New Roman Bold"/>
          <w:color w:val="000000"/>
          <w:spacing w:val="-1"/>
        </w:rPr>
        <w:t>Judges:</w:t>
      </w:r>
      <w:r>
        <w:rPr>
          <w:color w:val="000000"/>
          <w:spacing w:val="-1"/>
        </w:rPr>
        <w:t xml:space="preserve"> Opinion by Corrigan, J., expressing </w:t>
      </w:r>
      <w:r>
        <w:rPr>
          <w:color w:val="000000"/>
        </w:rPr>
        <w:t xml:space="preserve">the </w:t>
      </w:r>
      <w:r>
        <w:rPr>
          <w:color w:val="000000"/>
        </w:rPr>
        <w:t>unanimous view of the court.</w:t>
      </w:r>
    </w:p>
    <w:p w:rsidR="00491B30" w:rsidRDefault="00BA5DC6">
      <w:pPr>
        <w:spacing w:before="246" w:line="276" w:lineRule="exact"/>
        <w:ind w:left="898"/>
        <w:rPr>
          <w:color w:val="000000"/>
          <w:spacing w:val="-1"/>
        </w:rPr>
      </w:pPr>
      <w:r>
        <w:rPr>
          <w:rFonts w:ascii="Times New Roman Bold" w:hAnsi="Times New Roman Bold"/>
          <w:color w:val="000000"/>
          <w:spacing w:val="-1"/>
        </w:rPr>
        <w:t>Opinion by:</w:t>
      </w:r>
      <w:r>
        <w:rPr>
          <w:color w:val="000000"/>
          <w:spacing w:val="-1"/>
        </w:rPr>
        <w:t xml:space="preserve"> Corrigan</w:t>
      </w:r>
    </w:p>
    <w:p w:rsidR="00491B30" w:rsidRDefault="00491B30">
      <w:pPr>
        <w:spacing w:line="230" w:lineRule="exact"/>
        <w:ind w:left="898"/>
        <w:rPr>
          <w:color w:val="000000"/>
          <w:spacing w:val="-1"/>
        </w:rPr>
      </w:pPr>
    </w:p>
    <w:p w:rsidR="00491B30" w:rsidRDefault="00BA5DC6">
      <w:pPr>
        <w:spacing w:before="165" w:line="230" w:lineRule="exact"/>
        <w:ind w:left="978"/>
        <w:rPr>
          <w:rFonts w:ascii="Times New Roman Bold" w:hAnsi="Times New Roman Bold"/>
          <w:color w:val="000000"/>
          <w:spacing w:val="-2"/>
          <w:sz w:val="20"/>
        </w:rPr>
      </w:pPr>
      <w:r>
        <w:rPr>
          <w:rFonts w:ascii="Times New Roman Bold" w:hAnsi="Times New Roman Bold"/>
          <w:color w:val="000000"/>
          <w:spacing w:val="-2"/>
          <w:sz w:val="20"/>
        </w:rPr>
        <w:t>Opinion</w:t>
      </w:r>
    </w:p>
    <w:p w:rsidR="00491B30" w:rsidRDefault="00BA5DC6">
      <w:pPr>
        <w:spacing w:before="186" w:line="259" w:lineRule="exact"/>
        <w:ind w:left="898" w:right="324"/>
        <w:jc w:val="both"/>
        <w:rPr>
          <w:color w:val="000000"/>
        </w:rPr>
      </w:pPr>
      <w:r>
        <w:rPr>
          <w:rFonts w:ascii="Times New Roman Bold" w:hAnsi="Times New Roman Bold"/>
          <w:color w:val="000000"/>
          <w:spacing w:val="-1"/>
        </w:rPr>
        <w:t>CORRIGAN, J.</w:t>
      </w:r>
      <w:r>
        <w:rPr>
          <w:color w:val="000000"/>
          <w:spacing w:val="-1"/>
        </w:rPr>
        <w:t xml:space="preserve">—The parol evidence rule </w:t>
      </w:r>
      <w:r>
        <w:rPr>
          <w:color w:val="000000"/>
          <w:spacing w:val="-1"/>
        </w:rPr>
        <w:br/>
      </w:r>
      <w:r>
        <w:rPr>
          <w:color w:val="000000"/>
        </w:rPr>
        <w:t>protects the integrity of written contracts by</w:t>
      </w:r>
    </w:p>
    <w:p w:rsidR="00491B30" w:rsidRDefault="00BA5DC6">
      <w:pPr>
        <w:spacing w:line="259" w:lineRule="exact"/>
        <w:ind w:left="898"/>
        <w:jc w:val="both"/>
        <w:rPr>
          <w:color w:val="000000"/>
        </w:rPr>
      </w:pPr>
      <w:r>
        <w:rPr>
          <w:color w:val="000000"/>
          <w:spacing w:val="-3"/>
        </w:rPr>
        <w:t xml:space="preserve">making their terms the exclusive evidence of the </w:t>
      </w:r>
      <w:r>
        <w:rPr>
          <w:color w:val="000000"/>
          <w:spacing w:val="-3"/>
        </w:rPr>
        <w:br/>
        <w:t xml:space="preserve">parties’ </w:t>
      </w:r>
      <w:r>
        <w:rPr>
          <w:rFonts w:ascii="Times New Roman Bold" w:hAnsi="Times New Roman Bold"/>
          <w:color w:val="000000"/>
          <w:spacing w:val="-1"/>
        </w:rPr>
        <w:t>[*1172]</w:t>
      </w:r>
      <w:r>
        <w:rPr>
          <w:color w:val="000000"/>
          <w:spacing w:val="-1"/>
        </w:rPr>
        <w:t xml:space="preserve">  agreement. However, an es-</w:t>
      </w:r>
      <w:r>
        <w:rPr>
          <w:color w:val="000000"/>
          <w:spacing w:val="-1"/>
        </w:rPr>
        <w:br/>
      </w:r>
      <w:r>
        <w:rPr>
          <w:color w:val="000000"/>
        </w:rPr>
        <w:t xml:space="preserve">tablished exception to the rule allows a party to </w:t>
      </w:r>
      <w:r>
        <w:rPr>
          <w:color w:val="000000"/>
        </w:rPr>
        <w:br/>
      </w:r>
      <w:r>
        <w:rPr>
          <w:color w:val="000000"/>
          <w:spacing w:val="-2"/>
        </w:rPr>
        <w:t xml:space="preserve">present extrinsic </w:t>
      </w:r>
      <w:r>
        <w:rPr>
          <w:rFonts w:ascii="Times New Roman Bold" w:hAnsi="Times New Roman Bold"/>
          <w:color w:val="000000"/>
        </w:rPr>
        <w:t>[**2]</w:t>
      </w:r>
      <w:r>
        <w:rPr>
          <w:color w:val="000000"/>
        </w:rPr>
        <w:t xml:space="preserve"> evidence to show that </w:t>
      </w:r>
      <w:r>
        <w:rPr>
          <w:color w:val="000000"/>
        </w:rPr>
        <w:br/>
      </w:r>
      <w:r>
        <w:rPr>
          <w:color w:val="000000"/>
          <w:w w:val="103"/>
        </w:rPr>
        <w:t xml:space="preserve">the agreement was tainted by fraud. Here, we </w:t>
      </w:r>
      <w:r>
        <w:rPr>
          <w:color w:val="000000"/>
          <w:w w:val="103"/>
        </w:rPr>
        <w:br/>
      </w:r>
      <w:r>
        <w:rPr>
          <w:color w:val="000000"/>
        </w:rPr>
        <w:t>consider the scope of the fraud exception to</w:t>
      </w:r>
    </w:p>
    <w:p w:rsidR="00491B30" w:rsidRDefault="00BA5DC6">
      <w:pPr>
        <w:spacing w:before="1" w:line="259" w:lineRule="exact"/>
        <w:ind w:left="898"/>
        <w:rPr>
          <w:color w:val="000000"/>
        </w:rPr>
      </w:pPr>
      <w:r>
        <w:rPr>
          <w:color w:val="000000"/>
        </w:rPr>
        <w:t>the parol evidence rule.</w:t>
      </w:r>
    </w:p>
    <w:p w:rsidR="00491B30" w:rsidRDefault="00BA5DC6">
      <w:pPr>
        <w:spacing w:before="190" w:line="259" w:lineRule="exact"/>
        <w:ind w:left="898"/>
        <w:jc w:val="both"/>
        <w:rPr>
          <w:color w:val="000000"/>
          <w:spacing w:val="-2"/>
        </w:rPr>
      </w:pPr>
      <w:r>
        <w:rPr>
          <w:color w:val="000000"/>
        </w:rPr>
        <w:t>As we discuss below, the fraud exception i</w:t>
      </w:r>
      <w:r>
        <w:rPr>
          <w:color w:val="000000"/>
        </w:rPr>
        <w:t xml:space="preserve">s a </w:t>
      </w:r>
      <w:r>
        <w:rPr>
          <w:color w:val="000000"/>
        </w:rPr>
        <w:br/>
      </w:r>
      <w:r>
        <w:rPr>
          <w:color w:val="000000"/>
          <w:spacing w:val="-2"/>
        </w:rPr>
        <w:t>long-standing one, and is usually stated in broad</w:t>
      </w:r>
    </w:p>
    <w:p w:rsidR="00491B30" w:rsidRDefault="00BA5DC6">
      <w:pPr>
        <w:spacing w:line="259" w:lineRule="exact"/>
        <w:ind w:left="5807"/>
        <w:rPr>
          <w:color w:val="000000"/>
          <w:spacing w:val="-2"/>
        </w:rPr>
      </w:pPr>
      <w:r>
        <w:rPr>
          <w:color w:val="000000"/>
          <w:spacing w:val="-2"/>
        </w:rPr>
        <w:br w:type="column"/>
      </w:r>
    </w:p>
    <w:p w:rsidR="00491B30" w:rsidRDefault="00491B30">
      <w:pPr>
        <w:spacing w:line="259" w:lineRule="exact"/>
        <w:ind w:left="5807"/>
        <w:rPr>
          <w:color w:val="000000"/>
          <w:spacing w:val="-2"/>
        </w:rPr>
      </w:pPr>
    </w:p>
    <w:p w:rsidR="00491B30" w:rsidRDefault="00BA5DC6">
      <w:pPr>
        <w:spacing w:before="22" w:line="259" w:lineRule="exact"/>
        <w:ind w:left="20" w:right="734"/>
        <w:rPr>
          <w:color w:val="000000"/>
        </w:rPr>
      </w:pPr>
      <w:r>
        <w:rPr>
          <w:color w:val="000000"/>
        </w:rPr>
        <w:t xml:space="preserve">terms. However, in 1935 this court adopted a </w:t>
      </w:r>
      <w:r>
        <w:rPr>
          <w:color w:val="000000"/>
        </w:rPr>
        <w:br/>
        <w:t>limitation on the fraud exception: evidence of-</w:t>
      </w:r>
      <w:r>
        <w:rPr>
          <w:color w:val="000000"/>
        </w:rPr>
        <w:br/>
        <w:t xml:space="preserve">fered to prove fraud “must tend to establish </w:t>
      </w:r>
      <w:r>
        <w:rPr>
          <w:color w:val="000000"/>
        </w:rPr>
        <w:br/>
      </w:r>
      <w:r>
        <w:rPr>
          <w:color w:val="000000"/>
          <w:spacing w:val="-1"/>
        </w:rPr>
        <w:t xml:space="preserve">some independent fact or representation, some </w:t>
      </w:r>
      <w:r>
        <w:rPr>
          <w:color w:val="000000"/>
          <w:spacing w:val="-1"/>
        </w:rPr>
        <w:br/>
      </w:r>
      <w:r>
        <w:rPr>
          <w:color w:val="000000"/>
        </w:rPr>
        <w:t xml:space="preserve">fraud in </w:t>
      </w:r>
      <w:r>
        <w:rPr>
          <w:color w:val="000000"/>
        </w:rPr>
        <w:t>the procurement of the instrument</w:t>
      </w:r>
    </w:p>
    <w:p w:rsidR="00491B30" w:rsidRDefault="00BA5DC6">
      <w:pPr>
        <w:spacing w:before="1" w:line="259" w:lineRule="exact"/>
        <w:ind w:left="20" w:right="639"/>
        <w:rPr>
          <w:color w:val="000000"/>
        </w:rPr>
      </w:pPr>
      <w:r>
        <w:rPr>
          <w:color w:val="000000"/>
        </w:rPr>
        <w:t xml:space="preserve">or some breach of confidence concerning its </w:t>
      </w:r>
      <w:r>
        <w:rPr>
          <w:color w:val="000000"/>
        </w:rPr>
        <w:br/>
        <w:t xml:space="preserve">use, and not a promise directly at variance with </w:t>
      </w:r>
      <w:r>
        <w:rPr>
          <w:color w:val="000000"/>
        </w:rPr>
        <w:br/>
        <w:t>the promise of the writing.” (</w:t>
      </w:r>
      <w:r>
        <w:rPr>
          <w:rFonts w:ascii="Times New Roman Italic" w:hAnsi="Times New Roman Italic"/>
          <w:color w:val="0000FF"/>
          <w:u w:val="single"/>
        </w:rPr>
        <w:t xml:space="preserve"> Bank of America </w:t>
      </w:r>
      <w:r>
        <w:rPr>
          <w:rFonts w:ascii="Times New Roman Italic" w:hAnsi="Times New Roman Italic"/>
          <w:color w:val="0000FF"/>
          <w:u w:val="single"/>
        </w:rPr>
        <w:br/>
      </w:r>
      <w:r>
        <w:rPr>
          <w:rFonts w:ascii="Times New Roman Italic" w:hAnsi="Times New Roman Italic"/>
          <w:color w:val="0000FF"/>
          <w:w w:val="101"/>
          <w:u w:val="single"/>
        </w:rPr>
        <w:t>etc. Assn. v. Pendergrass</w:t>
      </w:r>
      <w:r>
        <w:rPr>
          <w:color w:val="0000FF"/>
          <w:w w:val="101"/>
          <w:u w:val="single"/>
        </w:rPr>
        <w:t xml:space="preserve">  (1935) 4 Cal.2d 258, </w:t>
      </w:r>
      <w:r>
        <w:rPr>
          <w:color w:val="0000FF"/>
          <w:w w:val="101"/>
          <w:u w:val="single"/>
        </w:rPr>
        <w:br/>
      </w:r>
      <w:r>
        <w:rPr>
          <w:color w:val="0000FF"/>
          <w:spacing w:val="-1"/>
          <w:u w:val="single"/>
        </w:rPr>
        <w:t>263 [48 P.2d 659]</w:t>
      </w:r>
      <w:r>
        <w:rPr>
          <w:color w:val="000000"/>
          <w:spacing w:val="-1"/>
        </w:rPr>
        <w:t xml:space="preserve"> (</w:t>
      </w:r>
      <w:r>
        <w:rPr>
          <w:rFonts w:ascii="Times New Roman Italic" w:hAnsi="Times New Roman Italic"/>
          <w:color w:val="000000"/>
          <w:spacing w:val="-1"/>
        </w:rPr>
        <w:t>Pendergrass</w:t>
      </w:r>
      <w:r>
        <w:rPr>
          <w:color w:val="000000"/>
          <w:spacing w:val="-1"/>
        </w:rPr>
        <w:t>).) The</w:t>
      </w:r>
      <w:r>
        <w:rPr>
          <w:rFonts w:ascii="Times New Roman Italic" w:hAnsi="Times New Roman Italic"/>
          <w:color w:val="000000"/>
          <w:spacing w:val="-1"/>
        </w:rPr>
        <w:t xml:space="preserve"> Pend-</w:t>
      </w:r>
      <w:r>
        <w:rPr>
          <w:rFonts w:ascii="Times New Roman Italic" w:hAnsi="Times New Roman Italic"/>
          <w:color w:val="000000"/>
          <w:spacing w:val="-1"/>
        </w:rPr>
        <w:br/>
        <w:t>ergrass</w:t>
      </w:r>
      <w:r>
        <w:rPr>
          <w:color w:val="000000"/>
          <w:spacing w:val="-1"/>
        </w:rPr>
        <w:t xml:space="preserve"> rule has been criticized but followed by </w:t>
      </w:r>
      <w:r>
        <w:rPr>
          <w:color w:val="000000"/>
          <w:spacing w:val="-1"/>
        </w:rPr>
        <w:br/>
      </w:r>
      <w:r>
        <w:rPr>
          <w:color w:val="000000"/>
        </w:rPr>
        <w:t>California courts, for the most part, though</w:t>
      </w:r>
    </w:p>
    <w:p w:rsidR="00491B30" w:rsidRDefault="00BA5DC6">
      <w:pPr>
        <w:spacing w:before="1" w:line="259" w:lineRule="exact"/>
        <w:ind w:left="20" w:right="692"/>
        <w:jc w:val="both"/>
        <w:rPr>
          <w:color w:val="000000"/>
          <w:spacing w:val="-1"/>
        </w:rPr>
      </w:pPr>
      <w:r>
        <w:rPr>
          <w:color w:val="000000"/>
        </w:rPr>
        <w:t xml:space="preserve">some have narrowly construed it. The Court of </w:t>
      </w:r>
      <w:r>
        <w:rPr>
          <w:color w:val="000000"/>
          <w:spacing w:val="-4"/>
        </w:rPr>
        <w:t>Appeal in this case adopted such a narrow con-</w:t>
      </w:r>
      <w:r>
        <w:rPr>
          <w:color w:val="000000"/>
          <w:spacing w:val="-4"/>
        </w:rPr>
        <w:br/>
      </w:r>
      <w:r>
        <w:rPr>
          <w:color w:val="000000"/>
          <w:w w:val="102"/>
        </w:rPr>
        <w:t xml:space="preserve">struction, deciding that evidence of an alleged </w:t>
      </w:r>
      <w:r>
        <w:rPr>
          <w:color w:val="000000"/>
          <w:spacing w:val="-1"/>
        </w:rPr>
        <w:t>oral m</w:t>
      </w:r>
      <w:r>
        <w:rPr>
          <w:color w:val="000000"/>
          <w:spacing w:val="-1"/>
        </w:rPr>
        <w:t>isrepresentation of the written terms</w:t>
      </w:r>
    </w:p>
    <w:p w:rsidR="00491B30" w:rsidRDefault="00BA5DC6">
      <w:pPr>
        <w:spacing w:line="259" w:lineRule="exact"/>
        <w:ind w:left="20" w:right="956"/>
        <w:jc w:val="both"/>
        <w:rPr>
          <w:color w:val="000000"/>
          <w:spacing w:val="-3"/>
        </w:rPr>
      </w:pPr>
      <w:r>
        <w:rPr>
          <w:color w:val="000000"/>
        </w:rPr>
        <w:t>themselves is not barred by the</w:t>
      </w:r>
      <w:r>
        <w:rPr>
          <w:rFonts w:ascii="Times New Roman Italic" w:hAnsi="Times New Roman Italic"/>
          <w:color w:val="000000"/>
        </w:rPr>
        <w:t xml:space="preserve"> Pendergrass </w:t>
      </w:r>
      <w:r>
        <w:rPr>
          <w:rFonts w:ascii="Times New Roman Italic" w:hAnsi="Times New Roman Italic"/>
          <w:color w:val="000000"/>
        </w:rPr>
        <w:br/>
      </w:r>
      <w:r>
        <w:rPr>
          <w:color w:val="000000"/>
          <w:spacing w:val="-3"/>
        </w:rPr>
        <w:t>rule.</w:t>
      </w:r>
    </w:p>
    <w:p w:rsidR="00491B30" w:rsidRDefault="00491B30">
      <w:pPr>
        <w:spacing w:line="259" w:lineRule="exact"/>
        <w:ind w:left="5807"/>
        <w:jc w:val="both"/>
        <w:rPr>
          <w:color w:val="000000"/>
          <w:spacing w:val="-3"/>
        </w:rPr>
      </w:pPr>
    </w:p>
    <w:p w:rsidR="00491B30" w:rsidRDefault="00BA5DC6">
      <w:pPr>
        <w:spacing w:before="40" w:line="259" w:lineRule="exact"/>
        <w:ind w:left="20" w:right="639"/>
        <w:jc w:val="both"/>
        <w:rPr>
          <w:color w:val="000000"/>
          <w:spacing w:val="-1"/>
        </w:rPr>
      </w:pPr>
      <w:r>
        <w:rPr>
          <w:color w:val="000000"/>
          <w:spacing w:val="-1"/>
        </w:rPr>
        <w:t>Plaintiffs, who prevailed below, not only de-</w:t>
      </w:r>
      <w:r>
        <w:rPr>
          <w:color w:val="000000"/>
          <w:spacing w:val="-1"/>
        </w:rPr>
        <w:br/>
        <w:t>fend the Court of Appeal’s holding but, alterna-</w:t>
      </w:r>
      <w:r>
        <w:rPr>
          <w:color w:val="000000"/>
          <w:spacing w:val="-1"/>
        </w:rPr>
        <w:br/>
        <w:t>tively, invite us to reconsider</w:t>
      </w:r>
      <w:r>
        <w:rPr>
          <w:rFonts w:ascii="Times New Roman Italic" w:hAnsi="Times New Roman Italic"/>
          <w:color w:val="000000"/>
          <w:spacing w:val="-1"/>
        </w:rPr>
        <w:t xml:space="preserve"> Pendergrass</w:t>
      </w:r>
      <w:r>
        <w:rPr>
          <w:color w:val="000000"/>
          <w:spacing w:val="-1"/>
        </w:rPr>
        <w:t>.</w:t>
      </w:r>
    </w:p>
    <w:p w:rsidR="00491B30" w:rsidRDefault="00BA5DC6">
      <w:pPr>
        <w:spacing w:before="1" w:line="259" w:lineRule="exact"/>
        <w:ind w:left="20" w:right="639"/>
        <w:rPr>
          <w:color w:val="000000"/>
          <w:w w:val="101"/>
        </w:rPr>
      </w:pPr>
      <w:r>
        <w:rPr>
          <w:color w:val="000000"/>
          <w:spacing w:val="-1"/>
        </w:rPr>
        <w:t>There are good reasons for</w:t>
      </w:r>
      <w:r>
        <w:rPr>
          <w:color w:val="000000"/>
          <w:spacing w:val="-1"/>
        </w:rPr>
        <w:t xml:space="preserve"> doing so. The</w:t>
      </w:r>
      <w:r>
        <w:rPr>
          <w:rFonts w:ascii="Times New Roman Italic" w:hAnsi="Times New Roman Italic"/>
          <w:color w:val="000000"/>
          <w:spacing w:val="-1"/>
        </w:rPr>
        <w:t xml:space="preserve"> Pend-</w:t>
      </w:r>
      <w:r>
        <w:rPr>
          <w:rFonts w:ascii="Times New Roman Italic" w:hAnsi="Times New Roman Italic"/>
          <w:color w:val="000000"/>
          <w:spacing w:val="-1"/>
        </w:rPr>
        <w:br/>
      </w:r>
      <w:r>
        <w:rPr>
          <w:rFonts w:ascii="Times New Roman Italic" w:hAnsi="Times New Roman Italic"/>
          <w:color w:val="000000"/>
          <w:spacing w:val="-2"/>
        </w:rPr>
        <w:t>ergrass</w:t>
      </w:r>
      <w:r>
        <w:rPr>
          <w:color w:val="000000"/>
          <w:spacing w:val="-2"/>
        </w:rPr>
        <w:t xml:space="preserve"> limitation finds </w:t>
      </w:r>
      <w:r>
        <w:rPr>
          <w:rFonts w:ascii="Times New Roman Bold" w:hAnsi="Times New Roman Bold"/>
          <w:color w:val="000000"/>
        </w:rPr>
        <w:t>[**3]</w:t>
      </w:r>
      <w:r>
        <w:rPr>
          <w:color w:val="000000"/>
        </w:rPr>
        <w:t xml:space="preserve"> no support in </w:t>
      </w:r>
      <w:r>
        <w:rPr>
          <w:color w:val="000000"/>
        </w:rPr>
        <w:br/>
        <w:t xml:space="preserve">the language of the statute codifying the parol </w:t>
      </w:r>
      <w:r>
        <w:rPr>
          <w:color w:val="000000"/>
        </w:rPr>
        <w:br/>
        <w:t xml:space="preserve">evidence rule and the exception for evidence of </w:t>
      </w:r>
      <w:r>
        <w:rPr>
          <w:color w:val="000000"/>
        </w:rPr>
        <w:br/>
        <w:t xml:space="preserve">fraud. It is difficult to apply. It conflicts with </w:t>
      </w:r>
      <w:r>
        <w:rPr>
          <w:color w:val="000000"/>
        </w:rPr>
        <w:br/>
      </w:r>
      <w:r>
        <w:rPr>
          <w:color w:val="000000"/>
          <w:w w:val="106"/>
        </w:rPr>
        <w:t xml:space="preserve">the doctrine of the Restatements, most </w:t>
      </w:r>
      <w:r>
        <w:rPr>
          <w:color w:val="000000"/>
          <w:w w:val="106"/>
        </w:rPr>
        <w:t>trea-</w:t>
      </w:r>
      <w:r>
        <w:rPr>
          <w:color w:val="000000"/>
          <w:w w:val="106"/>
        </w:rPr>
        <w:br/>
      </w:r>
      <w:r>
        <w:rPr>
          <w:color w:val="000000"/>
          <w:spacing w:val="-2"/>
        </w:rPr>
        <w:t>tises, and the majority of our sister-state juris-</w:t>
      </w:r>
      <w:r>
        <w:rPr>
          <w:color w:val="000000"/>
          <w:spacing w:val="-2"/>
        </w:rPr>
        <w:br/>
      </w:r>
      <w:r>
        <w:rPr>
          <w:color w:val="000000"/>
          <w:w w:val="103"/>
        </w:rPr>
        <w:t>dictions. Furthermore, while intended to pre-</w:t>
      </w:r>
      <w:r>
        <w:rPr>
          <w:color w:val="000000"/>
          <w:w w:val="103"/>
        </w:rPr>
        <w:br/>
      </w:r>
      <w:r>
        <w:rPr>
          <w:color w:val="000000"/>
          <w:spacing w:val="-4"/>
        </w:rPr>
        <w:t>vent fraud, the rule established in</w:t>
      </w:r>
      <w:r>
        <w:rPr>
          <w:rFonts w:ascii="Times New Roman Italic" w:hAnsi="Times New Roman Italic"/>
          <w:color w:val="000000"/>
          <w:spacing w:val="-4"/>
        </w:rPr>
        <w:t xml:space="preserve"> Pendergrass </w:t>
      </w:r>
      <w:r>
        <w:rPr>
          <w:rFonts w:ascii="Times New Roman Italic" w:hAnsi="Times New Roman Italic"/>
          <w:color w:val="000000"/>
          <w:spacing w:val="-4"/>
        </w:rPr>
        <w:br/>
      </w:r>
      <w:r>
        <w:rPr>
          <w:color w:val="000000"/>
          <w:spacing w:val="-3"/>
        </w:rPr>
        <w:t>may actually provide a shield for fraudulent con-</w:t>
      </w:r>
      <w:r>
        <w:rPr>
          <w:color w:val="000000"/>
          <w:spacing w:val="-3"/>
        </w:rPr>
        <w:br/>
      </w:r>
      <w:r>
        <w:rPr>
          <w:color w:val="000000"/>
          <w:spacing w:val="-4"/>
        </w:rPr>
        <w:t>duct. Finally,</w:t>
      </w:r>
      <w:r>
        <w:rPr>
          <w:rFonts w:ascii="Times New Roman Italic" w:hAnsi="Times New Roman Italic"/>
          <w:color w:val="000000"/>
          <w:spacing w:val="-4"/>
        </w:rPr>
        <w:t xml:space="preserve"> Pendergrass</w:t>
      </w:r>
      <w:r>
        <w:rPr>
          <w:color w:val="000000"/>
          <w:spacing w:val="-4"/>
        </w:rPr>
        <w:t xml:space="preserve"> departed from estab-</w:t>
      </w:r>
      <w:r>
        <w:rPr>
          <w:color w:val="000000"/>
          <w:spacing w:val="-4"/>
        </w:rPr>
        <w:br/>
      </w:r>
      <w:r>
        <w:rPr>
          <w:color w:val="000000"/>
          <w:w w:val="101"/>
        </w:rPr>
        <w:t>lished</w:t>
      </w:r>
      <w:r>
        <w:rPr>
          <w:color w:val="000000"/>
          <w:w w:val="101"/>
        </w:rPr>
        <w:t xml:space="preserve"> California law at the time it was de-</w:t>
      </w:r>
    </w:p>
    <w:p w:rsidR="00491B30" w:rsidRDefault="00BA5DC6">
      <w:pPr>
        <w:spacing w:before="1" w:line="259" w:lineRule="exact"/>
        <w:ind w:left="20" w:right="715"/>
        <w:jc w:val="both"/>
        <w:rPr>
          <w:color w:val="000000"/>
          <w:spacing w:val="-3"/>
        </w:rPr>
      </w:pPr>
      <w:r>
        <w:rPr>
          <w:color w:val="000000"/>
          <w:spacing w:val="-1"/>
        </w:rPr>
        <w:t xml:space="preserve">cided, and neither acknowledged nor justified </w:t>
      </w:r>
      <w:r>
        <w:rPr>
          <w:color w:val="000000"/>
          <w:spacing w:val="-1"/>
        </w:rPr>
        <w:br/>
      </w:r>
      <w:r>
        <w:rPr>
          <w:color w:val="000000"/>
        </w:rPr>
        <w:t>the abrogation. We now conclude that</w:t>
      </w:r>
      <w:r>
        <w:rPr>
          <w:rFonts w:ascii="Times New Roman Italic" w:hAnsi="Times New Roman Italic"/>
          <w:color w:val="0000FF"/>
        </w:rPr>
        <w:t xml:space="preserve"> </w:t>
      </w:r>
      <w:r>
        <w:rPr>
          <w:rFonts w:ascii="Times New Roman Italic" w:hAnsi="Times New Roman Italic"/>
          <w:color w:val="0000FF"/>
          <w:u w:val="single"/>
        </w:rPr>
        <w:t xml:space="preserve"> Pender-</w:t>
      </w:r>
      <w:r>
        <w:rPr>
          <w:rFonts w:ascii="Times New Roman Italic" w:hAnsi="Times New Roman Italic"/>
          <w:color w:val="0000FF"/>
          <w:u w:val="single"/>
        </w:rPr>
        <w:br/>
        <w:t>grass</w:t>
      </w:r>
      <w:r>
        <w:rPr>
          <w:color w:val="000000"/>
        </w:rPr>
        <w:t xml:space="preserve"> was ill considered, and should be over-</w:t>
      </w:r>
      <w:r>
        <w:rPr>
          <w:color w:val="000000"/>
        </w:rPr>
        <w:br/>
      </w:r>
      <w:r>
        <w:rPr>
          <w:color w:val="000000"/>
          <w:spacing w:val="-3"/>
        </w:rPr>
        <w:t>ruled.</w:t>
      </w:r>
    </w:p>
    <w:p w:rsidR="00491B30" w:rsidRDefault="00BA5DC6">
      <w:pPr>
        <w:spacing w:before="246" w:line="276" w:lineRule="exact"/>
        <w:ind w:left="20"/>
        <w:rPr>
          <w:color w:val="000000"/>
          <w:spacing w:val="-2"/>
        </w:rPr>
      </w:pPr>
      <w:r>
        <w:rPr>
          <w:color w:val="000000"/>
          <w:spacing w:val="-2"/>
        </w:rPr>
        <w:t>I. BACKGROUND</w:t>
      </w:r>
    </w:p>
    <w:p w:rsidR="00491B30" w:rsidRDefault="00491B30">
      <w:pPr>
        <w:spacing w:line="259" w:lineRule="exact"/>
        <w:ind w:left="5807"/>
        <w:jc w:val="both"/>
        <w:rPr>
          <w:color w:val="000000"/>
          <w:spacing w:val="-2"/>
        </w:rPr>
      </w:pPr>
    </w:p>
    <w:p w:rsidR="00491B30" w:rsidRDefault="00BA5DC6">
      <w:pPr>
        <w:spacing w:before="39" w:line="259" w:lineRule="exact"/>
        <w:ind w:left="20" w:right="639"/>
        <w:jc w:val="both"/>
        <w:rPr>
          <w:color w:val="000000"/>
          <w:spacing w:val="-2"/>
        </w:rPr>
      </w:pPr>
      <w:r>
        <w:rPr>
          <w:color w:val="000000"/>
          <w:spacing w:val="-1"/>
        </w:rPr>
        <w:t>Plaintiffs Lance and Pamela Workman fell be-</w:t>
      </w:r>
      <w:r>
        <w:rPr>
          <w:color w:val="000000"/>
          <w:spacing w:val="-1"/>
        </w:rPr>
        <w:br/>
      </w:r>
      <w:r>
        <w:rPr>
          <w:color w:val="000000"/>
          <w:spacing w:val="-2"/>
        </w:rPr>
        <w:t xml:space="preserve">hind on </w:t>
      </w:r>
      <w:r>
        <w:rPr>
          <w:color w:val="000000"/>
          <w:spacing w:val="-2"/>
        </w:rPr>
        <w:t>their loan payments to defendant Fresno</w:t>
      </w:r>
    </w:p>
    <w:p w:rsidR="00491B30" w:rsidRDefault="00BA5DC6">
      <w:pPr>
        <w:spacing w:before="1" w:line="259" w:lineRule="exact"/>
        <w:ind w:left="20" w:right="667"/>
        <w:rPr>
          <w:color w:val="000000"/>
          <w:spacing w:val="-3"/>
        </w:rPr>
      </w:pPr>
      <w:r>
        <w:rPr>
          <w:color w:val="000000"/>
          <w:spacing w:val="-2"/>
        </w:rPr>
        <w:t xml:space="preserve">-Madera Production Credit Association </w:t>
      </w:r>
      <w:r>
        <w:rPr>
          <w:color w:val="000000"/>
          <w:spacing w:val="-2"/>
        </w:rPr>
        <w:br/>
      </w:r>
      <w:r>
        <w:rPr>
          <w:color w:val="000000"/>
          <w:spacing w:val="-1"/>
        </w:rPr>
        <w:t>(Credit Association or Association). They re-</w:t>
      </w:r>
      <w:r>
        <w:rPr>
          <w:color w:val="000000"/>
          <w:spacing w:val="-1"/>
        </w:rPr>
        <w:br/>
      </w:r>
      <w:r>
        <w:rPr>
          <w:color w:val="000000"/>
          <w:w w:val="106"/>
        </w:rPr>
        <w:t xml:space="preserve">structured their debt in an agreement, dated </w:t>
      </w:r>
      <w:r>
        <w:rPr>
          <w:color w:val="000000"/>
          <w:w w:val="106"/>
        </w:rPr>
        <w:br/>
      </w:r>
      <w:r>
        <w:rPr>
          <w:color w:val="000000"/>
          <w:w w:val="101"/>
        </w:rPr>
        <w:t xml:space="preserve">March 26, 2007, which confirmed outstanding </w:t>
      </w:r>
      <w:r>
        <w:rPr>
          <w:color w:val="000000"/>
          <w:w w:val="101"/>
        </w:rPr>
        <w:br/>
      </w:r>
      <w:r>
        <w:rPr>
          <w:color w:val="000000"/>
          <w:spacing w:val="-3"/>
        </w:rPr>
        <w:t xml:space="preserve">loans with a total delinquency of $ 776,380.24. </w:t>
      </w:r>
    </w:p>
    <w:p w:rsidR="00491B30" w:rsidRDefault="00491B30">
      <w:pPr>
        <w:rPr>
          <w:color w:val="000000"/>
          <w:spacing w:val="-3"/>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30" w:lineRule="exact"/>
        <w:ind w:left="5183"/>
        <w:rPr>
          <w:color w:val="000000"/>
          <w:spacing w:val="-3"/>
        </w:rPr>
      </w:pPr>
    </w:p>
    <w:p w:rsidR="00491B30" w:rsidRDefault="00BA5DC6">
      <w:pPr>
        <w:spacing w:before="45" w:line="230" w:lineRule="exact"/>
        <w:ind w:left="5183"/>
        <w:rPr>
          <w:color w:val="000000"/>
          <w:spacing w:val="-1"/>
          <w:sz w:val="20"/>
        </w:rPr>
      </w:pPr>
      <w:r>
        <w:rPr>
          <w:color w:val="000000"/>
          <w:spacing w:val="-1"/>
          <w:sz w:val="20"/>
        </w:rPr>
        <w:t xml:space="preserve">Charles Cox </w:t>
      </w:r>
      <w:r>
        <w:rPr>
          <w:color w:val="000000"/>
          <w:spacing w:val="-1"/>
          <w:sz w:val="20"/>
        </w:rPr>
        <w:pict>
          <v:line id="_x0000_s1095" style="position:absolute;left:0;text-align:left;z-index:-251610112;mso-position-horizontal-relative:page;mso-position-vertical-relative:page" from="66.5pt,551.15pt" to="301pt,551.15pt" o:allowincell="f" strokeweight="1.5pt">
            <w10:wrap anchorx="page" anchory="page"/>
          </v:line>
        </w:pict>
      </w:r>
      <w:r>
        <w:rPr>
          <w:color w:val="000000"/>
          <w:spacing w:val="-1"/>
          <w:sz w:val="20"/>
        </w:rPr>
        <w:pict>
          <v:line id="_x0000_s1096" style="position:absolute;left:0;text-align:left;z-index:-251609088;mso-position-horizontal-relative:page;mso-position-vertical-relative:page" from="300pt,558pt" to="301pt,558pt" o:allowincell="f" strokeweight="14.22pt">
            <w10:wrap anchorx="page" anchory="page"/>
          </v:line>
        </w:pict>
      </w:r>
      <w:r>
        <w:rPr>
          <w:color w:val="000000"/>
          <w:spacing w:val="-1"/>
          <w:sz w:val="20"/>
        </w:rPr>
        <w:pict>
          <v:line id="_x0000_s1097" style="position:absolute;left:0;text-align:left;z-index:-251608064;mso-position-horizontal-relative:page;mso-position-vertical-relative:page" from="66.5pt,564.85pt" to="301pt,564.85pt" o:allowincell="f" strokeweight="1.5pt">
            <w10:wrap anchorx="page" anchory="page"/>
          </v:line>
        </w:pict>
      </w:r>
      <w:r>
        <w:rPr>
          <w:color w:val="000000"/>
          <w:spacing w:val="-1"/>
          <w:sz w:val="20"/>
        </w:rPr>
        <w:pict>
          <v:line id="_x0000_s1098" style="position:absolute;left:0;text-align:left;z-index:-251607040;mso-position-horizontal-relative:page;mso-position-vertical-relative:page" from="66.5pt,558pt" to="67.5pt,558pt" o:allowincell="f" strokeweight="14.22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491B30">
      <w:pPr>
        <w:spacing w:line="240" w:lineRule="exact"/>
        <w:rPr>
          <w:color w:val="000000"/>
          <w:spacing w:val="-1"/>
        </w:rPr>
      </w:pPr>
      <w:bookmarkStart w:id="6" w:name="Pg7"/>
      <w:bookmarkEnd w:id="6"/>
    </w:p>
    <w:p w:rsidR="00491B30" w:rsidRDefault="00491B30">
      <w:pPr>
        <w:rPr>
          <w:color w:val="000000"/>
          <w:spacing w:val="-1"/>
        </w:rPr>
        <w:sectPr w:rsidR="00491B30">
          <w:pgSz w:w="12220" w:h="15820"/>
          <w:pgMar w:top="431" w:right="431" w:bottom="431" w:left="431" w:header="720" w:footer="720" w:gutter="0"/>
          <w:cols w:space="720"/>
        </w:sectPr>
      </w:pPr>
    </w:p>
    <w:p w:rsidR="00491B30" w:rsidRDefault="00BA5DC6">
      <w:pPr>
        <w:spacing w:line="180" w:lineRule="exact"/>
        <w:ind w:left="3583"/>
        <w:rPr>
          <w:color w:val="000000"/>
          <w:spacing w:val="-2"/>
          <w:sz w:val="20"/>
        </w:rPr>
      </w:pPr>
      <w:r>
        <w:rPr>
          <w:color w:val="000000"/>
          <w:spacing w:val="-2"/>
          <w:sz w:val="20"/>
        </w:rPr>
        <w:lastRenderedPageBreak/>
        <w:t>55 Cal. 4th 1169, *1172;</w:t>
      </w:r>
    </w:p>
    <w:p w:rsidR="00491B30" w:rsidRDefault="00491B30">
      <w:pPr>
        <w:spacing w:line="259" w:lineRule="exact"/>
        <w:ind w:left="898"/>
        <w:jc w:val="both"/>
        <w:rPr>
          <w:color w:val="000000"/>
          <w:spacing w:val="-2"/>
          <w:sz w:val="20"/>
        </w:rPr>
      </w:pPr>
    </w:p>
    <w:p w:rsidR="00491B30" w:rsidRDefault="00491B30">
      <w:pPr>
        <w:spacing w:line="259" w:lineRule="exact"/>
        <w:ind w:left="898"/>
        <w:jc w:val="both"/>
        <w:rPr>
          <w:color w:val="000000"/>
          <w:spacing w:val="-2"/>
          <w:sz w:val="20"/>
        </w:rPr>
      </w:pPr>
    </w:p>
    <w:p w:rsidR="00491B30" w:rsidRDefault="00BA5DC6">
      <w:pPr>
        <w:spacing w:before="9" w:line="259" w:lineRule="exact"/>
        <w:ind w:left="898"/>
        <w:jc w:val="both"/>
        <w:rPr>
          <w:color w:val="000000"/>
        </w:rPr>
      </w:pPr>
      <w:r>
        <w:rPr>
          <w:color w:val="000000"/>
          <w:vertAlign w:val="superscript"/>
        </w:rPr>
        <w:t>1</w:t>
      </w:r>
      <w:r>
        <w:rPr>
          <w:color w:val="000000"/>
        </w:rPr>
        <w:t xml:space="preserve"> In the new agreement, the Credit Association promised it would take no enforcement ac-</w:t>
      </w:r>
    </w:p>
    <w:p w:rsidR="00491B30" w:rsidRDefault="00BA5DC6">
      <w:pPr>
        <w:spacing w:line="259" w:lineRule="exact"/>
        <w:ind w:left="898"/>
        <w:rPr>
          <w:color w:val="000000"/>
          <w:w w:val="107"/>
        </w:rPr>
      </w:pPr>
      <w:r>
        <w:rPr>
          <w:color w:val="000000"/>
        </w:rPr>
        <w:t xml:space="preserve">tion until July 1, 2007, if the Workmans made </w:t>
      </w:r>
      <w:r>
        <w:rPr>
          <w:color w:val="000000"/>
        </w:rPr>
        <w:br/>
      </w:r>
      <w:r>
        <w:rPr>
          <w:color w:val="000000"/>
          <w:spacing w:val="-3"/>
        </w:rPr>
        <w:t xml:space="preserve">specified </w:t>
      </w:r>
      <w:r>
        <w:rPr>
          <w:rFonts w:ascii="Times New Roman Bold" w:hAnsi="Times New Roman Bold"/>
          <w:color w:val="000000"/>
          <w:spacing w:val="-1"/>
        </w:rPr>
        <w:t>[*1173]</w:t>
      </w:r>
      <w:r>
        <w:rPr>
          <w:color w:val="000000"/>
          <w:spacing w:val="-1"/>
        </w:rPr>
        <w:t xml:space="preserve">  payments. As additional </w:t>
      </w:r>
      <w:r>
        <w:rPr>
          <w:color w:val="000000"/>
          <w:spacing w:val="-1"/>
        </w:rPr>
        <w:br/>
        <w:t>collateral, the Workmans pledged eight sepa-</w:t>
      </w:r>
      <w:r>
        <w:rPr>
          <w:color w:val="000000"/>
          <w:spacing w:val="-1"/>
        </w:rPr>
        <w:br/>
      </w:r>
      <w:r>
        <w:rPr>
          <w:color w:val="000000"/>
          <w:w w:val="107"/>
        </w:rPr>
        <w:t>rate parcels of real property. They initialed</w:t>
      </w:r>
    </w:p>
    <w:p w:rsidR="00491B30" w:rsidRDefault="00BA5DC6">
      <w:pPr>
        <w:spacing w:line="259" w:lineRule="exact"/>
        <w:ind w:left="898" w:firstLine="107"/>
        <w:jc w:val="both"/>
        <w:rPr>
          <w:color w:val="000000"/>
          <w:w w:val="101"/>
          <w:vertAlign w:val="superscript"/>
        </w:rPr>
      </w:pPr>
      <w:r>
        <w:rPr>
          <w:rFonts w:ascii="Times New Roman Bold" w:hAnsi="Times New Roman Bold"/>
          <w:color w:val="000000"/>
          <w:w w:val="104"/>
        </w:rPr>
        <w:t>[**4]</w:t>
      </w:r>
      <w:r>
        <w:rPr>
          <w:color w:val="000000"/>
          <w:w w:val="104"/>
        </w:rPr>
        <w:t xml:space="preserve"> pages bearing the legal descriptions of </w:t>
      </w:r>
      <w:r>
        <w:rPr>
          <w:color w:val="000000"/>
          <w:w w:val="101"/>
        </w:rPr>
        <w:t>these parcels.</w:t>
      </w:r>
      <w:r>
        <w:rPr>
          <w:color w:val="000000"/>
          <w:w w:val="101"/>
          <w:vertAlign w:val="superscript"/>
        </w:rPr>
        <w:t xml:space="preserve"> 2</w:t>
      </w:r>
    </w:p>
    <w:p w:rsidR="00491B30" w:rsidRDefault="00491B30">
      <w:pPr>
        <w:spacing w:line="259" w:lineRule="exact"/>
        <w:ind w:left="898"/>
        <w:rPr>
          <w:color w:val="000000"/>
          <w:w w:val="101"/>
          <w:vertAlign w:val="superscript"/>
        </w:rPr>
      </w:pPr>
    </w:p>
    <w:p w:rsidR="00491B30" w:rsidRDefault="00BA5DC6">
      <w:pPr>
        <w:spacing w:before="41" w:line="259" w:lineRule="exact"/>
        <w:ind w:left="898"/>
        <w:rPr>
          <w:color w:val="000000"/>
          <w:spacing w:val="-1"/>
        </w:rPr>
      </w:pPr>
      <w:r>
        <w:rPr>
          <w:color w:val="000000"/>
        </w:rPr>
        <w:t xml:space="preserve">The </w:t>
      </w:r>
      <w:r>
        <w:rPr>
          <w:color w:val="000000"/>
        </w:rPr>
        <w:t>Workmans did not make the required pay-</w:t>
      </w:r>
      <w:r>
        <w:rPr>
          <w:color w:val="000000"/>
        </w:rPr>
        <w:br/>
        <w:t>ments. On March 21, 2008, the Credit Asso-</w:t>
      </w:r>
      <w:r>
        <w:rPr>
          <w:color w:val="000000"/>
        </w:rPr>
        <w:br/>
      </w:r>
      <w:r>
        <w:rPr>
          <w:color w:val="000000"/>
          <w:spacing w:val="-1"/>
        </w:rPr>
        <w:t xml:space="preserve">ciation recorded a notice of default. Eventually, </w:t>
      </w:r>
      <w:r>
        <w:rPr>
          <w:color w:val="000000"/>
          <w:spacing w:val="-1"/>
        </w:rPr>
        <w:br/>
      </w:r>
      <w:r>
        <w:rPr>
          <w:color w:val="000000"/>
          <w:spacing w:val="-3"/>
        </w:rPr>
        <w:t>the Workmans repaid the loan and the Associa-</w:t>
      </w:r>
      <w:r>
        <w:rPr>
          <w:color w:val="000000"/>
          <w:spacing w:val="-3"/>
        </w:rPr>
        <w:br/>
      </w:r>
      <w:r>
        <w:rPr>
          <w:color w:val="000000"/>
        </w:rPr>
        <w:t xml:space="preserve">tion dismissed its foreclosure proceedings. The </w:t>
      </w:r>
      <w:r>
        <w:rPr>
          <w:color w:val="000000"/>
        </w:rPr>
        <w:br/>
      </w:r>
      <w:r>
        <w:rPr>
          <w:color w:val="000000"/>
          <w:spacing w:val="-1"/>
        </w:rPr>
        <w:t>Workmans then filed this ac</w:t>
      </w:r>
      <w:r>
        <w:rPr>
          <w:color w:val="000000"/>
          <w:spacing w:val="-1"/>
        </w:rPr>
        <w:t>tion, seeking dam-</w:t>
      </w:r>
      <w:r>
        <w:rPr>
          <w:color w:val="000000"/>
          <w:spacing w:val="-1"/>
        </w:rPr>
        <w:br/>
      </w:r>
      <w:r>
        <w:rPr>
          <w:color w:val="000000"/>
        </w:rPr>
        <w:t xml:space="preserve">ages for fraud and negligent misrepresentation, </w:t>
      </w:r>
      <w:r>
        <w:rPr>
          <w:color w:val="000000"/>
        </w:rPr>
        <w:br/>
        <w:t xml:space="preserve">and including causes of action for rescission </w:t>
      </w:r>
      <w:r>
        <w:rPr>
          <w:color w:val="000000"/>
        </w:rPr>
        <w:br/>
      </w:r>
      <w:r>
        <w:rPr>
          <w:color w:val="000000"/>
          <w:spacing w:val="-1"/>
        </w:rPr>
        <w:t xml:space="preserve">and reformation of the restructuring agreement. </w:t>
      </w:r>
      <w:r>
        <w:rPr>
          <w:color w:val="000000"/>
          <w:spacing w:val="-1"/>
        </w:rPr>
        <w:br/>
        <w:t>They alleged that the Association’s vice-</w:t>
      </w:r>
    </w:p>
    <w:p w:rsidR="00491B30" w:rsidRDefault="00BA5DC6">
      <w:pPr>
        <w:spacing w:line="259" w:lineRule="exact"/>
        <w:ind w:left="898"/>
        <w:jc w:val="both"/>
        <w:rPr>
          <w:color w:val="000000"/>
        </w:rPr>
      </w:pPr>
      <w:r>
        <w:rPr>
          <w:color w:val="000000"/>
          <w:spacing w:val="-1"/>
        </w:rPr>
        <w:t xml:space="preserve">president, David Ylarregui, met with them two </w:t>
      </w:r>
      <w:r>
        <w:rPr>
          <w:color w:val="000000"/>
          <w:spacing w:val="-1"/>
        </w:rPr>
        <w:br/>
      </w:r>
      <w:r>
        <w:rPr>
          <w:color w:val="000000"/>
          <w:spacing w:val="-2"/>
        </w:rPr>
        <w:t>wee</w:t>
      </w:r>
      <w:r>
        <w:rPr>
          <w:color w:val="000000"/>
          <w:spacing w:val="-2"/>
        </w:rPr>
        <w:t>ks before the agreement was</w:t>
      </w:r>
      <w:r>
        <w:rPr>
          <w:rFonts w:ascii="Times New Roman Bold" w:hAnsi="Times New Roman Bold"/>
          <w:color w:val="000000"/>
          <w:spacing w:val="-2"/>
        </w:rPr>
        <w:t xml:space="preserve"> [**5]</w:t>
      </w:r>
      <w:r>
        <w:rPr>
          <w:color w:val="000000"/>
          <w:spacing w:val="-2"/>
        </w:rPr>
        <w:t xml:space="preserve"> signed, </w:t>
      </w:r>
      <w:r>
        <w:rPr>
          <w:color w:val="000000"/>
          <w:spacing w:val="-2"/>
        </w:rPr>
        <w:br/>
      </w:r>
      <w:r>
        <w:rPr>
          <w:color w:val="000000"/>
          <w:spacing w:val="-1"/>
        </w:rPr>
        <w:t xml:space="preserve">and told them the Association would extend the </w:t>
      </w:r>
      <w:r>
        <w:rPr>
          <w:color w:val="000000"/>
          <w:spacing w:val="-1"/>
        </w:rPr>
        <w:br/>
      </w:r>
      <w:r>
        <w:rPr>
          <w:color w:val="000000"/>
        </w:rPr>
        <w:t xml:space="preserve">loan for two years in exchange for additional </w:t>
      </w:r>
      <w:r>
        <w:rPr>
          <w:color w:val="000000"/>
        </w:rPr>
        <w:br/>
      </w:r>
      <w:r>
        <w:rPr>
          <w:color w:val="000000"/>
          <w:spacing w:val="-1"/>
        </w:rPr>
        <w:t>collateral consisting of two ranches. The Work-</w:t>
      </w:r>
      <w:r>
        <w:rPr>
          <w:color w:val="000000"/>
          <w:spacing w:val="-1"/>
        </w:rPr>
        <w:br/>
      </w:r>
      <w:r>
        <w:rPr>
          <w:color w:val="000000"/>
        </w:rPr>
        <w:t>mans further claimed that when they signed</w:t>
      </w:r>
    </w:p>
    <w:p w:rsidR="00491B30" w:rsidRDefault="00BA5DC6">
      <w:pPr>
        <w:spacing w:line="259" w:lineRule="exact"/>
        <w:ind w:left="898"/>
        <w:rPr>
          <w:color w:val="000000"/>
        </w:rPr>
      </w:pPr>
      <w:r>
        <w:rPr>
          <w:color w:val="000000"/>
        </w:rPr>
        <w:t xml:space="preserve">the agreement Ylarregui assured them its term </w:t>
      </w:r>
      <w:r>
        <w:rPr>
          <w:color w:val="000000"/>
          <w:spacing w:val="-2"/>
        </w:rPr>
        <w:t>was two years and the ranches were the only ad-</w:t>
      </w:r>
      <w:r>
        <w:rPr>
          <w:color w:val="000000"/>
          <w:spacing w:val="-2"/>
        </w:rPr>
        <w:br/>
      </w:r>
      <w:r>
        <w:rPr>
          <w:color w:val="000000"/>
          <w:spacing w:val="-1"/>
        </w:rPr>
        <w:t>ditional security. As noted, the contract actu-</w:t>
      </w:r>
      <w:r>
        <w:rPr>
          <w:color w:val="000000"/>
          <w:spacing w:val="-1"/>
        </w:rPr>
        <w:br/>
        <w:t>ally contemplated only three months of forbear-</w:t>
      </w:r>
      <w:r>
        <w:rPr>
          <w:color w:val="000000"/>
          <w:spacing w:val="-1"/>
        </w:rPr>
        <w:br/>
        <w:t>ance by the Association, and identified eight parcels as additiona</w:t>
      </w:r>
      <w:r>
        <w:rPr>
          <w:color w:val="000000"/>
          <w:spacing w:val="-1"/>
        </w:rPr>
        <w:t xml:space="preserve">l collateral. The Workmans </w:t>
      </w:r>
      <w:r>
        <w:rPr>
          <w:color w:val="000000"/>
        </w:rPr>
        <w:t>did not read the agreement, but simply</w:t>
      </w:r>
    </w:p>
    <w:p w:rsidR="00491B30" w:rsidRDefault="00BA5DC6">
      <w:pPr>
        <w:spacing w:line="259" w:lineRule="exact"/>
        <w:ind w:left="898"/>
        <w:rPr>
          <w:color w:val="000000"/>
        </w:rPr>
      </w:pPr>
      <w:r>
        <w:rPr>
          <w:color w:val="000000"/>
        </w:rPr>
        <w:t>signed it at the locations tabbed for signature.</w:t>
      </w:r>
    </w:p>
    <w:p w:rsidR="00491B30" w:rsidRDefault="00BA5DC6">
      <w:pPr>
        <w:spacing w:line="180" w:lineRule="exact"/>
        <w:ind w:left="20"/>
        <w:rPr>
          <w:color w:val="000000"/>
          <w:sz w:val="20"/>
        </w:rPr>
      </w:pPr>
      <w:r>
        <w:rPr>
          <w:color w:val="000000"/>
        </w:rPr>
        <w:br w:type="column"/>
      </w:r>
      <w:r>
        <w:rPr>
          <w:color w:val="000000"/>
          <w:sz w:val="20"/>
        </w:rPr>
        <w:lastRenderedPageBreak/>
        <w:t>2013 Cal. LEXIS 253, **3</w:t>
      </w:r>
    </w:p>
    <w:p w:rsidR="00491B30" w:rsidRDefault="00491B30">
      <w:pPr>
        <w:spacing w:line="259" w:lineRule="exact"/>
        <w:ind w:left="5807"/>
        <w:rPr>
          <w:color w:val="000000"/>
          <w:sz w:val="20"/>
        </w:rPr>
      </w:pPr>
    </w:p>
    <w:p w:rsidR="00491B30" w:rsidRDefault="00491B30">
      <w:pPr>
        <w:spacing w:line="259" w:lineRule="exact"/>
        <w:ind w:left="5807"/>
        <w:rPr>
          <w:color w:val="000000"/>
          <w:sz w:val="20"/>
        </w:rPr>
      </w:pPr>
    </w:p>
    <w:p w:rsidR="00491B30" w:rsidRDefault="00BA5DC6">
      <w:pPr>
        <w:spacing w:before="10" w:line="259" w:lineRule="exact"/>
        <w:ind w:left="141" w:right="639"/>
        <w:rPr>
          <w:color w:val="000000"/>
        </w:rPr>
      </w:pPr>
      <w:r>
        <w:rPr>
          <w:color w:val="000000"/>
          <w:spacing w:val="-1"/>
        </w:rPr>
        <w:t xml:space="preserve">The Credit Association moved for summary </w:t>
      </w:r>
      <w:r>
        <w:rPr>
          <w:color w:val="000000"/>
          <w:spacing w:val="-1"/>
        </w:rPr>
        <w:br/>
      </w:r>
      <w:r>
        <w:rPr>
          <w:color w:val="000000"/>
          <w:spacing w:val="-2"/>
        </w:rPr>
        <w:t xml:space="preserve">judgment. It contended the Workmans could not </w:t>
      </w:r>
      <w:r>
        <w:rPr>
          <w:color w:val="000000"/>
          <w:spacing w:val="-2"/>
        </w:rPr>
        <w:br/>
      </w:r>
      <w:r>
        <w:rPr>
          <w:color w:val="000000"/>
        </w:rPr>
        <w:t>prove their claims becau</w:t>
      </w:r>
      <w:r>
        <w:rPr>
          <w:color w:val="000000"/>
        </w:rPr>
        <w:t xml:space="preserve">se the parol evidence </w:t>
      </w:r>
      <w:r>
        <w:rPr>
          <w:color w:val="000000"/>
        </w:rPr>
        <w:br/>
      </w:r>
      <w:r>
        <w:rPr>
          <w:color w:val="000000"/>
          <w:spacing w:val="-2"/>
        </w:rPr>
        <w:t>rule barred evidence of any representations con-</w:t>
      </w:r>
      <w:r>
        <w:rPr>
          <w:color w:val="000000"/>
          <w:spacing w:val="-2"/>
        </w:rPr>
        <w:br/>
      </w:r>
      <w:r>
        <w:rPr>
          <w:color w:val="000000"/>
        </w:rPr>
        <w:t xml:space="preserve">tradicting the terms of the written agreement. </w:t>
      </w:r>
      <w:r>
        <w:rPr>
          <w:color w:val="000000"/>
        </w:rPr>
        <w:br/>
      </w:r>
      <w:r>
        <w:rPr>
          <w:color w:val="000000"/>
          <w:spacing w:val="-3"/>
        </w:rPr>
        <w:t>In opposition, the Workmans argued that Ylarre-</w:t>
      </w:r>
      <w:r>
        <w:rPr>
          <w:color w:val="000000"/>
          <w:spacing w:val="-3"/>
        </w:rPr>
        <w:br/>
      </w:r>
      <w:r>
        <w:rPr>
          <w:color w:val="000000"/>
          <w:spacing w:val="-1"/>
        </w:rPr>
        <w:t>gui’s misrepresentations were admissible un-</w:t>
      </w:r>
      <w:r>
        <w:rPr>
          <w:color w:val="000000"/>
          <w:spacing w:val="-1"/>
        </w:rPr>
        <w:br/>
      </w:r>
      <w:r>
        <w:rPr>
          <w:color w:val="000000"/>
          <w:w w:val="103"/>
        </w:rPr>
        <w:t>der the fraud exception to the parol eviden</w:t>
      </w:r>
      <w:r>
        <w:rPr>
          <w:color w:val="000000"/>
          <w:w w:val="103"/>
        </w:rPr>
        <w:t xml:space="preserve">ce </w:t>
      </w:r>
      <w:r>
        <w:rPr>
          <w:color w:val="000000"/>
          <w:w w:val="103"/>
        </w:rPr>
        <w:br/>
      </w:r>
      <w:r>
        <w:rPr>
          <w:color w:val="000000"/>
          <w:w w:val="102"/>
        </w:rPr>
        <w:t>rule. Relying on</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Pendergrass, supra</w:t>
      </w:r>
      <w:r>
        <w:rPr>
          <w:color w:val="0000FF"/>
          <w:w w:val="102"/>
          <w:u w:val="single"/>
        </w:rPr>
        <w:t xml:space="preserve"> , 4 Cal.2d </w:t>
      </w:r>
      <w:r>
        <w:rPr>
          <w:color w:val="0000FF"/>
          <w:w w:val="102"/>
          <w:u w:val="single"/>
        </w:rPr>
        <w:br/>
      </w:r>
      <w:r>
        <w:rPr>
          <w:color w:val="0000FF"/>
          <w:u w:val="single"/>
        </w:rPr>
        <w:t>258</w:t>
      </w:r>
      <w:r>
        <w:rPr>
          <w:color w:val="000000"/>
        </w:rPr>
        <w:t>, the trial court granted summary judg-</w:t>
      </w:r>
      <w:r>
        <w:rPr>
          <w:color w:val="000000"/>
        </w:rPr>
        <w:br/>
      </w:r>
      <w:r>
        <w:rPr>
          <w:color w:val="000000"/>
          <w:spacing w:val="-3"/>
        </w:rPr>
        <w:t>ment, ruling that the fraud exception does not al-</w:t>
      </w:r>
      <w:r>
        <w:rPr>
          <w:color w:val="000000"/>
          <w:spacing w:val="-3"/>
        </w:rPr>
        <w:br/>
      </w:r>
      <w:r>
        <w:rPr>
          <w:color w:val="000000"/>
        </w:rPr>
        <w:t xml:space="preserve">low parol evidence of promises at odds with </w:t>
      </w:r>
      <w:r>
        <w:rPr>
          <w:color w:val="000000"/>
        </w:rPr>
        <w:br/>
        <w:t>the terms of the written agreement.</w:t>
      </w:r>
    </w:p>
    <w:p w:rsidR="00491B30" w:rsidRDefault="00BA5DC6">
      <w:pPr>
        <w:spacing w:before="229" w:line="259" w:lineRule="exact"/>
        <w:ind w:left="141" w:right="639"/>
        <w:jc w:val="both"/>
        <w:rPr>
          <w:color w:val="000000"/>
        </w:rPr>
      </w:pPr>
      <w:r>
        <w:rPr>
          <w:color w:val="000000"/>
        </w:rPr>
        <w:t xml:space="preserve">The Court of Appeal reversed. It reasoned that </w:t>
      </w:r>
      <w:r>
        <w:rPr>
          <w:rFonts w:ascii="Times New Roman Italic" w:hAnsi="Times New Roman Italic"/>
          <w:color w:val="000000"/>
          <w:spacing w:val="-3"/>
        </w:rPr>
        <w:t>Pendergrass</w:t>
      </w:r>
      <w:r>
        <w:rPr>
          <w:color w:val="000000"/>
          <w:spacing w:val="-3"/>
        </w:rPr>
        <w:t xml:space="preserve"> is limited</w:t>
      </w:r>
      <w:r>
        <w:rPr>
          <w:rFonts w:ascii="Times New Roman Bold" w:hAnsi="Times New Roman Bold"/>
          <w:color w:val="000000"/>
          <w:spacing w:val="-3"/>
        </w:rPr>
        <w:t xml:space="preserve"> [**6]</w:t>
      </w:r>
      <w:r>
        <w:rPr>
          <w:color w:val="000000"/>
          <w:spacing w:val="-3"/>
        </w:rPr>
        <w:t xml:space="preserve"> to cases of prom-</w:t>
      </w:r>
      <w:r>
        <w:rPr>
          <w:color w:val="000000"/>
          <w:spacing w:val="-3"/>
        </w:rPr>
        <w:br/>
      </w:r>
      <w:r>
        <w:rPr>
          <w:color w:val="000000"/>
          <w:w w:val="101"/>
        </w:rPr>
        <w:t>issory fraud.</w:t>
      </w:r>
      <w:r>
        <w:rPr>
          <w:color w:val="000000"/>
          <w:w w:val="101"/>
          <w:vertAlign w:val="superscript"/>
        </w:rPr>
        <w:t xml:space="preserve"> 3</w:t>
      </w:r>
      <w:r>
        <w:rPr>
          <w:color w:val="000000"/>
          <w:w w:val="101"/>
        </w:rPr>
        <w:t xml:space="preserve"> The court considered false state-</w:t>
      </w:r>
      <w:r>
        <w:rPr>
          <w:color w:val="000000"/>
          <w:w w:val="101"/>
        </w:rPr>
        <w:br/>
      </w:r>
      <w:r>
        <w:rPr>
          <w:color w:val="000000"/>
        </w:rPr>
        <w:t>ments about the contents of the agreement it-</w:t>
      </w:r>
      <w:r>
        <w:rPr>
          <w:color w:val="000000"/>
        </w:rPr>
        <w:br/>
      </w:r>
      <w:r>
        <w:rPr>
          <w:color w:val="000000"/>
          <w:spacing w:val="-1"/>
        </w:rPr>
        <w:t>self to be factual misrepresentations beyond the scope of the</w:t>
      </w:r>
      <w:r>
        <w:rPr>
          <w:rFonts w:ascii="Times New Roman Italic" w:hAnsi="Times New Roman Italic"/>
          <w:color w:val="000000"/>
          <w:spacing w:val="-1"/>
        </w:rPr>
        <w:t xml:space="preserve"> Pendergrass</w:t>
      </w:r>
      <w:r>
        <w:rPr>
          <w:color w:val="000000"/>
          <w:spacing w:val="-1"/>
        </w:rPr>
        <w:t xml:space="preserve"> rule. We granted the </w:t>
      </w:r>
      <w:r>
        <w:rPr>
          <w:color w:val="000000"/>
        </w:rPr>
        <w:t>Credit Association’s  petition  for  re-</w:t>
      </w:r>
    </w:p>
    <w:p w:rsidR="00491B30" w:rsidRDefault="00BA5DC6">
      <w:pPr>
        <w:spacing w:line="259" w:lineRule="exact"/>
        <w:ind w:left="141"/>
        <w:rPr>
          <w:rFonts w:ascii="Times New Roman Bold" w:hAnsi="Times New Roman Bold"/>
          <w:color w:val="000000"/>
          <w:spacing w:val="-4"/>
        </w:rPr>
      </w:pPr>
      <w:r>
        <w:rPr>
          <w:color w:val="000000"/>
          <w:spacing w:val="-4"/>
        </w:rPr>
        <w:t>view.</w:t>
      </w:r>
      <w:r>
        <w:rPr>
          <w:rFonts w:ascii="Times New Roman Bold" w:hAnsi="Times New Roman Bold"/>
          <w:color w:val="000000"/>
          <w:spacing w:val="-4"/>
        </w:rPr>
        <w:t xml:space="preserve"> [*1174]</w:t>
      </w:r>
    </w:p>
    <w:p w:rsidR="00491B30" w:rsidRDefault="00BA5DC6">
      <w:pPr>
        <w:spacing w:before="246" w:line="276" w:lineRule="exact"/>
        <w:ind w:left="141"/>
        <w:rPr>
          <w:color w:val="000000"/>
          <w:spacing w:val="-2"/>
        </w:rPr>
      </w:pPr>
      <w:r>
        <w:rPr>
          <w:color w:val="000000"/>
          <w:spacing w:val="-2"/>
        </w:rPr>
        <w:t>II. DISCUSSION</w:t>
      </w:r>
    </w:p>
    <w:p w:rsidR="00491B30" w:rsidRDefault="00BA5DC6">
      <w:pPr>
        <w:spacing w:before="258" w:line="259" w:lineRule="exact"/>
        <w:ind w:left="141" w:right="914"/>
        <w:jc w:val="both"/>
        <w:rPr>
          <w:rFonts w:ascii="Times New Roman Italic" w:hAnsi="Times New Roman Italic"/>
          <w:color w:val="000000"/>
          <w:spacing w:val="-2"/>
        </w:rPr>
      </w:pPr>
      <w:r>
        <w:rPr>
          <w:color w:val="000000"/>
        </w:rPr>
        <w:t>A.</w:t>
      </w:r>
      <w:r>
        <w:rPr>
          <w:rFonts w:ascii="Times New Roman Italic" w:hAnsi="Times New Roman Italic"/>
          <w:color w:val="000000"/>
        </w:rPr>
        <w:t xml:space="preserve"> The Parol Evidence Rule and the</w:t>
      </w:r>
      <w:r>
        <w:rPr>
          <w:color w:val="000000"/>
        </w:rPr>
        <w:t xml:space="preserve"> Pender-</w:t>
      </w:r>
      <w:r>
        <w:rPr>
          <w:color w:val="000000"/>
        </w:rPr>
        <w:br/>
      </w:r>
      <w:r>
        <w:rPr>
          <w:color w:val="000000"/>
          <w:spacing w:val="-2"/>
        </w:rPr>
        <w:t>grass</w:t>
      </w:r>
      <w:r>
        <w:rPr>
          <w:rFonts w:ascii="Times New Roman Italic" w:hAnsi="Times New Roman Italic"/>
          <w:color w:val="000000"/>
          <w:spacing w:val="-2"/>
        </w:rPr>
        <w:t xml:space="preserve"> Limitation</w:t>
      </w:r>
    </w:p>
    <w:p w:rsidR="00491B30" w:rsidRDefault="00BA5DC6">
      <w:pPr>
        <w:spacing w:before="200" w:line="259" w:lineRule="exact"/>
        <w:ind w:left="141" w:right="639"/>
        <w:jc w:val="both"/>
        <w:rPr>
          <w:color w:val="000000"/>
        </w:rPr>
      </w:pPr>
      <w:r>
        <w:rPr>
          <w:rFonts w:ascii="Times New Roman Bold Italic" w:hAnsi="Times New Roman Bold Italic"/>
          <w:color w:val="000000"/>
          <w:spacing w:val="-1"/>
        </w:rPr>
        <w:t>HN2 CA(1)</w:t>
      </w:r>
      <w:r>
        <w:rPr>
          <w:color w:val="000000"/>
          <w:spacing w:val="-1"/>
        </w:rPr>
        <w:t xml:space="preserve"> (1) The parol evidence rule is codi-</w:t>
      </w:r>
      <w:r>
        <w:rPr>
          <w:color w:val="000000"/>
          <w:spacing w:val="-1"/>
        </w:rPr>
        <w:br/>
      </w:r>
      <w:r>
        <w:rPr>
          <w:color w:val="000000"/>
        </w:rPr>
        <w:t>fied in</w:t>
      </w:r>
      <w:r>
        <w:rPr>
          <w:rFonts w:ascii="Times New Roman Italic" w:hAnsi="Times New Roman Italic"/>
          <w:color w:val="0000FF"/>
        </w:rPr>
        <w:t xml:space="preserve"> </w:t>
      </w:r>
      <w:r>
        <w:rPr>
          <w:rFonts w:ascii="Times New Roman Italic" w:hAnsi="Times New Roman Italic"/>
          <w:color w:val="0000FF"/>
          <w:u w:val="single"/>
        </w:rPr>
        <w:t xml:space="preserve"> Code of Civil Procedure section 1856 </w:t>
      </w:r>
      <w:r>
        <w:rPr>
          <w:rFonts w:ascii="Times New Roman Italic" w:hAnsi="Times New Roman Italic"/>
          <w:color w:val="0000FF"/>
          <w:u w:val="single"/>
        </w:rPr>
        <w:br/>
      </w:r>
      <w:r>
        <w:rPr>
          <w:color w:val="000000"/>
          <w:w w:val="103"/>
        </w:rPr>
        <w:t>and</w:t>
      </w:r>
      <w:r>
        <w:rPr>
          <w:rFonts w:ascii="Times New Roman Italic" w:hAnsi="Times New Roman Italic"/>
          <w:color w:val="0000FF"/>
          <w:w w:val="103"/>
        </w:rPr>
        <w:t xml:space="preserve"> </w:t>
      </w:r>
      <w:r>
        <w:rPr>
          <w:rFonts w:ascii="Times New Roman Italic" w:hAnsi="Times New Roman Italic"/>
          <w:color w:val="0000FF"/>
          <w:w w:val="103"/>
          <w:u w:val="single"/>
        </w:rPr>
        <w:t xml:space="preserve"> Civil Code section 1625</w:t>
      </w:r>
      <w:r>
        <w:rPr>
          <w:color w:val="000000"/>
          <w:w w:val="103"/>
        </w:rPr>
        <w:t xml:space="preserve">. It provides that </w:t>
      </w:r>
      <w:r>
        <w:rPr>
          <w:color w:val="000000"/>
          <w:w w:val="103"/>
        </w:rPr>
        <w:br/>
      </w:r>
      <w:r>
        <w:rPr>
          <w:color w:val="000000"/>
          <w:w w:val="102"/>
        </w:rPr>
        <w:t>when parties enter an integrated written agree-</w:t>
      </w:r>
      <w:r>
        <w:rPr>
          <w:color w:val="000000"/>
          <w:w w:val="102"/>
        </w:rPr>
        <w:br/>
      </w:r>
      <w:r>
        <w:rPr>
          <w:color w:val="000000"/>
        </w:rPr>
        <w:t>ment, extrinsic evidence may not be relied</w:t>
      </w:r>
    </w:p>
    <w:p w:rsidR="00491B30" w:rsidRDefault="00BA5DC6">
      <w:pPr>
        <w:spacing w:before="1" w:line="259" w:lineRule="exact"/>
        <w:ind w:left="141" w:right="639"/>
        <w:jc w:val="both"/>
        <w:rPr>
          <w:color w:val="0000FF"/>
          <w:spacing w:val="-1"/>
          <w:u w:val="single"/>
        </w:rPr>
      </w:pPr>
      <w:r>
        <w:rPr>
          <w:color w:val="000000"/>
          <w:w w:val="102"/>
        </w:rPr>
        <w:t>upon to alter or add to the terms of the writ-</w:t>
      </w:r>
      <w:r>
        <w:rPr>
          <w:color w:val="000000"/>
          <w:w w:val="102"/>
        </w:rPr>
        <w:br/>
      </w:r>
      <w:r>
        <w:rPr>
          <w:color w:val="000000"/>
          <w:spacing w:val="-1"/>
        </w:rPr>
        <w:t>ing.</w:t>
      </w:r>
      <w:r>
        <w:rPr>
          <w:color w:val="000000"/>
          <w:spacing w:val="-1"/>
          <w:vertAlign w:val="superscript"/>
        </w:rPr>
        <w:t xml:space="preserve"> 4</w:t>
      </w:r>
      <w:r>
        <w:rPr>
          <w:color w:val="000000"/>
          <w:spacing w:val="-1"/>
        </w:rPr>
        <w:t xml:space="preserve"> (</w:t>
      </w:r>
      <w:r>
        <w:rPr>
          <w:rFonts w:ascii="Times New Roman Italic" w:hAnsi="Times New Roman Italic"/>
          <w:color w:val="0000FF"/>
          <w:spacing w:val="-1"/>
          <w:u w:val="single"/>
        </w:rPr>
        <w:t xml:space="preserve"> Casa Herrera, Inc. v. Beydoun</w:t>
      </w:r>
      <w:r>
        <w:rPr>
          <w:color w:val="0000FF"/>
          <w:spacing w:val="-1"/>
          <w:u w:val="single"/>
        </w:rPr>
        <w:t xml:space="preserve">  (2004) 32 </w:t>
      </w:r>
    </w:p>
    <w:p w:rsidR="00491B30" w:rsidRDefault="00491B30">
      <w:pPr>
        <w:rPr>
          <w:color w:val="0000FF"/>
          <w:spacing w:val="-1"/>
          <w:u w:val="single"/>
        </w:rPr>
        <w:sectPr w:rsidR="00491B30">
          <w:type w:val="continuous"/>
          <w:pgSz w:w="12220" w:h="15820"/>
          <w:pgMar w:top="431" w:right="431" w:bottom="431" w:left="431" w:header="720" w:footer="720" w:gutter="0"/>
          <w:cols w:num="2" w:space="720" w:equalWidth="0">
            <w:col w:w="5646" w:space="40"/>
            <w:col w:w="5530" w:space="160"/>
          </w:cols>
        </w:sectPr>
      </w:pPr>
    </w:p>
    <w:p w:rsidR="00491B30" w:rsidRDefault="00491B30">
      <w:pPr>
        <w:spacing w:line="207" w:lineRule="exact"/>
        <w:ind w:left="898"/>
        <w:rPr>
          <w:color w:val="0000FF"/>
          <w:spacing w:val="-1"/>
          <w:u w:val="single"/>
        </w:rPr>
      </w:pPr>
    </w:p>
    <w:p w:rsidR="00491B30" w:rsidRDefault="00BA5DC6">
      <w:pPr>
        <w:tabs>
          <w:tab w:val="left" w:pos="1148"/>
        </w:tabs>
        <w:spacing w:before="173" w:line="207" w:lineRule="exact"/>
        <w:ind w:left="898"/>
        <w:rPr>
          <w:color w:val="000000"/>
          <w:position w:val="-3"/>
          <w:sz w:val="18"/>
        </w:rPr>
      </w:pPr>
      <w:r>
        <w:rPr>
          <w:color w:val="000000"/>
          <w:spacing w:val="-2"/>
          <w:position w:val="2"/>
          <w:sz w:val="12"/>
        </w:rPr>
        <w:t xml:space="preserve">1 </w:t>
      </w:r>
      <w:r>
        <w:rPr>
          <w:color w:val="000000"/>
          <w:spacing w:val="-2"/>
          <w:position w:val="2"/>
          <w:sz w:val="12"/>
        </w:rPr>
        <w:tab/>
      </w:r>
      <w:r>
        <w:rPr>
          <w:color w:val="000000"/>
          <w:position w:val="-3"/>
          <w:sz w:val="18"/>
        </w:rPr>
        <w:t xml:space="preserve">The Workmans signed individually as borrowers, and on behalf of the Workman Family Living Trust as guarantors. Lance </w:t>
      </w:r>
    </w:p>
    <w:p w:rsidR="00491B30" w:rsidRDefault="00BA5DC6">
      <w:pPr>
        <w:spacing w:before="39" w:line="200" w:lineRule="exact"/>
        <w:ind w:left="898" w:right="808"/>
        <w:rPr>
          <w:color w:val="000000"/>
          <w:sz w:val="18"/>
        </w:rPr>
      </w:pPr>
      <w:r>
        <w:rPr>
          <w:color w:val="000000"/>
          <w:sz w:val="18"/>
        </w:rPr>
        <w:t xml:space="preserve">Workman also signed as president of Riverisland Agribusiness and Riverisland Cold Storage, Inc., corporations designated in the agreement as “borrowers.” Riverisland Cold Storage and the Workman Family Living Trust are also plaintiffs in this action. </w:t>
      </w:r>
      <w:r>
        <w:rPr>
          <w:color w:val="000000"/>
          <w:sz w:val="18"/>
        </w:rPr>
        <w:br/>
        <w:t>We s</w:t>
      </w:r>
      <w:r>
        <w:rPr>
          <w:color w:val="000000"/>
          <w:sz w:val="18"/>
        </w:rPr>
        <w:t>ometimes refer to plaintiffs collectively as “the Workmans.”</w:t>
      </w:r>
    </w:p>
    <w:p w:rsidR="00491B30" w:rsidRDefault="00491B30">
      <w:pPr>
        <w:rPr>
          <w:color w:val="000000"/>
          <w:sz w:val="18"/>
        </w:rPr>
        <w:sectPr w:rsidR="00491B30">
          <w:type w:val="continuous"/>
          <w:pgSz w:w="12220" w:h="15820"/>
          <w:pgMar w:top="431" w:right="431" w:bottom="431" w:left="431" w:header="720" w:footer="720" w:gutter="0"/>
          <w:cols w:space="720"/>
        </w:sectPr>
      </w:pPr>
    </w:p>
    <w:p w:rsidR="00491B30" w:rsidRDefault="00BA5DC6">
      <w:pPr>
        <w:spacing w:before="108" w:line="138" w:lineRule="exact"/>
        <w:ind w:left="898"/>
        <w:rPr>
          <w:color w:val="000000"/>
          <w:spacing w:val="-1"/>
          <w:sz w:val="12"/>
        </w:rPr>
      </w:pPr>
      <w:r>
        <w:rPr>
          <w:color w:val="000000"/>
          <w:spacing w:val="-1"/>
          <w:sz w:val="12"/>
        </w:rPr>
        <w:lastRenderedPageBreak/>
        <w:t>2</w:t>
      </w:r>
    </w:p>
    <w:p w:rsidR="00491B30" w:rsidRDefault="00BA5DC6">
      <w:pPr>
        <w:spacing w:line="144" w:lineRule="exact"/>
        <w:ind w:left="898"/>
        <w:rPr>
          <w:color w:val="000000"/>
          <w:spacing w:val="-1"/>
          <w:sz w:val="12"/>
        </w:rPr>
      </w:pPr>
      <w:r>
        <w:rPr>
          <w:color w:val="000000"/>
          <w:spacing w:val="-1"/>
          <w:sz w:val="12"/>
        </w:rPr>
        <w:br w:type="column"/>
      </w:r>
    </w:p>
    <w:p w:rsidR="00491B30" w:rsidRDefault="00BA5DC6">
      <w:pPr>
        <w:spacing w:before="34" w:line="144" w:lineRule="exact"/>
        <w:ind w:left="20"/>
        <w:rPr>
          <w:color w:val="000000"/>
          <w:sz w:val="18"/>
        </w:rPr>
      </w:pPr>
      <w:r>
        <w:rPr>
          <w:color w:val="000000"/>
          <w:sz w:val="18"/>
        </w:rPr>
        <w:t xml:space="preserve">Through an apparent oversight, their initials appear on only the first, second, and last of the four pages listing the properties </w:t>
      </w:r>
    </w:p>
    <w:p w:rsidR="00491B30" w:rsidRDefault="00491B30">
      <w:pPr>
        <w:rPr>
          <w:color w:val="000000"/>
          <w:sz w:val="18"/>
        </w:rPr>
        <w:sectPr w:rsidR="00491B30">
          <w:type w:val="continuous"/>
          <w:pgSz w:w="12220" w:h="15820"/>
          <w:pgMar w:top="431" w:right="431" w:bottom="431" w:left="431" w:header="720" w:footer="720" w:gutter="0"/>
          <w:cols w:num="2" w:space="720" w:equalWidth="0">
            <w:col w:w="1038" w:space="110"/>
            <w:col w:w="10068" w:space="160"/>
          </w:cols>
        </w:sectPr>
      </w:pPr>
    </w:p>
    <w:p w:rsidR="00491B30" w:rsidRDefault="00BA5DC6">
      <w:pPr>
        <w:spacing w:before="3" w:line="207" w:lineRule="exact"/>
        <w:ind w:left="898"/>
        <w:rPr>
          <w:color w:val="000000"/>
          <w:sz w:val="18"/>
        </w:rPr>
      </w:pPr>
      <w:r>
        <w:rPr>
          <w:color w:val="000000"/>
          <w:sz w:val="18"/>
        </w:rPr>
        <w:lastRenderedPageBreak/>
        <w:t>in which the Cr</w:t>
      </w:r>
      <w:r>
        <w:rPr>
          <w:color w:val="000000"/>
          <w:sz w:val="18"/>
        </w:rPr>
        <w:t>edit Association took a security interest.</w:t>
      </w:r>
    </w:p>
    <w:p w:rsidR="00491B30" w:rsidRDefault="00491B30">
      <w:pPr>
        <w:rPr>
          <w:color w:val="000000"/>
          <w:sz w:val="18"/>
        </w:rPr>
        <w:sectPr w:rsidR="00491B30">
          <w:type w:val="continuous"/>
          <w:pgSz w:w="12220" w:h="15820"/>
          <w:pgMar w:top="431" w:right="431" w:bottom="431" w:left="431" w:header="720" w:footer="720" w:gutter="0"/>
          <w:cols w:space="720"/>
        </w:sectPr>
      </w:pPr>
    </w:p>
    <w:p w:rsidR="00491B30" w:rsidRDefault="00BA5DC6">
      <w:pPr>
        <w:spacing w:before="95" w:line="138" w:lineRule="exact"/>
        <w:ind w:left="898"/>
        <w:rPr>
          <w:color w:val="000000"/>
          <w:spacing w:val="-1"/>
          <w:sz w:val="12"/>
        </w:rPr>
      </w:pPr>
      <w:r>
        <w:rPr>
          <w:color w:val="000000"/>
          <w:spacing w:val="-1"/>
          <w:sz w:val="12"/>
        </w:rPr>
        <w:lastRenderedPageBreak/>
        <w:t>3</w:t>
      </w:r>
    </w:p>
    <w:p w:rsidR="00491B30" w:rsidRDefault="00BA5DC6">
      <w:pPr>
        <w:spacing w:line="144" w:lineRule="exact"/>
        <w:ind w:left="898"/>
        <w:rPr>
          <w:color w:val="000000"/>
          <w:spacing w:val="-1"/>
          <w:sz w:val="12"/>
        </w:rPr>
      </w:pPr>
      <w:r>
        <w:rPr>
          <w:color w:val="000000"/>
          <w:spacing w:val="-1"/>
          <w:sz w:val="12"/>
        </w:rPr>
        <w:br w:type="column"/>
      </w:r>
    </w:p>
    <w:p w:rsidR="00491B30" w:rsidRDefault="00BA5DC6">
      <w:pPr>
        <w:spacing w:before="22" w:line="144" w:lineRule="exact"/>
        <w:ind w:left="20"/>
        <w:rPr>
          <w:color w:val="0000FF"/>
          <w:sz w:val="18"/>
          <w:u w:val="single"/>
        </w:rPr>
      </w:pPr>
      <w:r>
        <w:rPr>
          <w:rFonts w:ascii="Times New Roman Bold Italic" w:hAnsi="Times New Roman Bold Italic"/>
          <w:color w:val="000000"/>
          <w:sz w:val="18"/>
        </w:rPr>
        <w:t>HN1</w:t>
      </w:r>
      <w:r>
        <w:rPr>
          <w:color w:val="000000"/>
          <w:sz w:val="18"/>
        </w:rPr>
        <w:t xml:space="preserve"> One of the forms of “[a]ctual fraud” is “[a] promise made without any intention of performing it.” (</w:t>
      </w:r>
      <w:r>
        <w:rPr>
          <w:color w:val="0000FF"/>
          <w:sz w:val="18"/>
          <w:u w:val="single"/>
        </w:rPr>
        <w:t xml:space="preserve"> Civ. Code, § 1572, </w:t>
      </w:r>
    </w:p>
    <w:p w:rsidR="00491B30" w:rsidRDefault="00491B30">
      <w:pPr>
        <w:rPr>
          <w:color w:val="0000FF"/>
          <w:sz w:val="18"/>
          <w:u w:val="single"/>
        </w:rPr>
        <w:sectPr w:rsidR="00491B30">
          <w:type w:val="continuous"/>
          <w:pgSz w:w="12220" w:h="15820"/>
          <w:pgMar w:top="431" w:right="431" w:bottom="431" w:left="431" w:header="720" w:footer="720" w:gutter="0"/>
          <w:cols w:num="2" w:space="720" w:equalWidth="0">
            <w:col w:w="1038" w:space="110"/>
            <w:col w:w="10068" w:space="160"/>
          </w:cols>
        </w:sectPr>
      </w:pPr>
    </w:p>
    <w:p w:rsidR="00491B30" w:rsidRDefault="00BA5DC6">
      <w:pPr>
        <w:spacing w:line="200" w:lineRule="exact"/>
        <w:ind w:left="898" w:right="742"/>
        <w:rPr>
          <w:color w:val="000000"/>
          <w:sz w:val="18"/>
        </w:rPr>
      </w:pPr>
      <w:r>
        <w:rPr>
          <w:color w:val="0000FF"/>
          <w:sz w:val="18"/>
          <w:u w:val="single"/>
        </w:rPr>
        <w:lastRenderedPageBreak/>
        <w:t>subd. 4</w:t>
      </w:r>
      <w:r>
        <w:rPr>
          <w:color w:val="000000"/>
          <w:sz w:val="18"/>
        </w:rPr>
        <w:t>; see</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Lazar v. Superior Court</w:t>
      </w:r>
      <w:r>
        <w:rPr>
          <w:color w:val="0000FF"/>
          <w:sz w:val="18"/>
          <w:u w:val="single"/>
        </w:rPr>
        <w:t xml:space="preserve">  (1996) 12 Cal.4th 631, 638 [49 Cal. Rptr. 2d 377, 909 P.2d 981]</w:t>
      </w:r>
      <w:r>
        <w:rPr>
          <w:color w:val="000000"/>
          <w:sz w:val="18"/>
        </w:rPr>
        <w:t xml:space="preserve"> [“An action for promissory fraud may lie where a defendant fraudulently induces the plaintiff to enter into a contract.”]; 5 Witkin, Summary of Cal. Law (10th ed. 2005) Torts, § 781, pp. 113</w:t>
      </w:r>
      <w:r>
        <w:rPr>
          <w:color w:val="000000"/>
          <w:sz w:val="18"/>
        </w:rPr>
        <w:t>1-1132.)</w:t>
      </w:r>
    </w:p>
    <w:p w:rsidR="00491B30" w:rsidRDefault="00491B30">
      <w:pPr>
        <w:rPr>
          <w:color w:val="000000"/>
          <w:sz w:val="18"/>
        </w:rPr>
        <w:sectPr w:rsidR="00491B30">
          <w:type w:val="continuous"/>
          <w:pgSz w:w="12220" w:h="15820"/>
          <w:pgMar w:top="431" w:right="431" w:bottom="431" w:left="431" w:header="720" w:footer="720" w:gutter="0"/>
          <w:cols w:space="720"/>
        </w:sectPr>
      </w:pPr>
    </w:p>
    <w:p w:rsidR="00491B30" w:rsidRDefault="00BA5DC6">
      <w:pPr>
        <w:spacing w:before="105" w:line="138" w:lineRule="exact"/>
        <w:ind w:left="898"/>
        <w:rPr>
          <w:color w:val="000000"/>
          <w:spacing w:val="-1"/>
          <w:sz w:val="12"/>
        </w:rPr>
      </w:pPr>
      <w:r>
        <w:rPr>
          <w:color w:val="000000"/>
          <w:spacing w:val="-1"/>
          <w:sz w:val="12"/>
        </w:rPr>
        <w:lastRenderedPageBreak/>
        <w:t>4</w:t>
      </w:r>
    </w:p>
    <w:p w:rsidR="00491B30" w:rsidRDefault="00BA5DC6">
      <w:pPr>
        <w:spacing w:line="144" w:lineRule="exact"/>
        <w:ind w:left="898"/>
        <w:rPr>
          <w:color w:val="000000"/>
          <w:spacing w:val="-1"/>
          <w:sz w:val="12"/>
        </w:rPr>
      </w:pPr>
      <w:r>
        <w:rPr>
          <w:color w:val="000000"/>
          <w:spacing w:val="-1"/>
          <w:sz w:val="12"/>
        </w:rPr>
        <w:br w:type="column"/>
      </w:r>
    </w:p>
    <w:p w:rsidR="00491B30" w:rsidRDefault="00BA5DC6">
      <w:pPr>
        <w:spacing w:before="30" w:line="144" w:lineRule="exact"/>
        <w:ind w:left="20"/>
        <w:rPr>
          <w:color w:val="000000"/>
          <w:sz w:val="18"/>
        </w:rPr>
      </w:pPr>
      <w:r>
        <w:rPr>
          <w:color w:val="0000FF"/>
          <w:sz w:val="18"/>
          <w:u w:val="single"/>
        </w:rPr>
        <w:t xml:space="preserve"> Code of Civil Procedure section 1856, subdivision (a)</w:t>
      </w:r>
      <w:r>
        <w:rPr>
          <w:color w:val="000000"/>
          <w:sz w:val="18"/>
        </w:rPr>
        <w:t xml:space="preserve"> states:</w:t>
      </w:r>
      <w:r>
        <w:rPr>
          <w:rFonts w:ascii="Times New Roman Bold Italic" w:hAnsi="Times New Roman Bold Italic"/>
          <w:color w:val="000000"/>
          <w:sz w:val="18"/>
        </w:rPr>
        <w:t xml:space="preserve"> HN3</w:t>
      </w:r>
      <w:r>
        <w:rPr>
          <w:color w:val="000000"/>
          <w:sz w:val="18"/>
        </w:rPr>
        <w:t xml:space="preserve"> “Terms set forth in a writing intended by the parties as a fi-</w:t>
      </w:r>
    </w:p>
    <w:p w:rsidR="00491B30" w:rsidRDefault="00491B30">
      <w:pPr>
        <w:rPr>
          <w:color w:val="000000"/>
          <w:sz w:val="18"/>
        </w:rPr>
        <w:sectPr w:rsidR="00491B30">
          <w:type w:val="continuous"/>
          <w:pgSz w:w="12220" w:h="15820"/>
          <w:pgMar w:top="431" w:right="431" w:bottom="431" w:left="431" w:header="720" w:footer="720" w:gutter="0"/>
          <w:cols w:num="2" w:space="720" w:equalWidth="0">
            <w:col w:w="1038" w:space="110"/>
            <w:col w:w="10068" w:space="160"/>
          </w:cols>
        </w:sectPr>
      </w:pPr>
    </w:p>
    <w:p w:rsidR="00491B30" w:rsidRDefault="00BA5DC6">
      <w:pPr>
        <w:spacing w:before="3" w:line="200" w:lineRule="exact"/>
        <w:ind w:left="898" w:right="733"/>
        <w:jc w:val="both"/>
        <w:rPr>
          <w:color w:val="000000"/>
          <w:spacing w:val="-2"/>
          <w:sz w:val="18"/>
        </w:rPr>
      </w:pPr>
      <w:r>
        <w:rPr>
          <w:color w:val="000000"/>
          <w:sz w:val="18"/>
        </w:rPr>
        <w:lastRenderedPageBreak/>
        <w:t xml:space="preserve">nal expression of their agreement with respect to such terms as are included therein may not be contradicted by evidence of any </w:t>
      </w:r>
      <w:r>
        <w:rPr>
          <w:color w:val="000000"/>
          <w:sz w:val="18"/>
        </w:rPr>
        <w:br/>
        <w:t>prior agreement or of a contemporaneous oral agreement.” Further unspecified statutory references are to the Code of Civil Proc</w:t>
      </w:r>
      <w:r>
        <w:rPr>
          <w:color w:val="000000"/>
          <w:sz w:val="18"/>
        </w:rPr>
        <w:t>e-</w:t>
      </w:r>
      <w:r>
        <w:rPr>
          <w:color w:val="000000"/>
          <w:sz w:val="18"/>
        </w:rPr>
        <w:br/>
      </w:r>
      <w:r>
        <w:rPr>
          <w:color w:val="000000"/>
          <w:spacing w:val="-2"/>
          <w:sz w:val="18"/>
        </w:rPr>
        <w:t xml:space="preserve">dure. </w:t>
      </w:r>
    </w:p>
    <w:p w:rsidR="00491B30" w:rsidRDefault="00BA5DC6">
      <w:pPr>
        <w:spacing w:before="120" w:line="200" w:lineRule="exact"/>
        <w:ind w:left="898" w:right="759"/>
        <w:jc w:val="both"/>
        <w:rPr>
          <w:color w:val="000000"/>
          <w:w w:val="102"/>
          <w:sz w:val="18"/>
        </w:rPr>
      </w:pPr>
      <w:r>
        <w:rPr>
          <w:color w:val="0000FF"/>
          <w:w w:val="102"/>
          <w:sz w:val="18"/>
          <w:u w:val="single"/>
        </w:rPr>
        <w:t xml:space="preserve"> Civil Code section 1625</w:t>
      </w:r>
      <w:r>
        <w:rPr>
          <w:color w:val="000000"/>
          <w:w w:val="102"/>
          <w:sz w:val="18"/>
        </w:rPr>
        <w:t xml:space="preserve"> states:</w:t>
      </w:r>
      <w:r>
        <w:rPr>
          <w:rFonts w:ascii="Times New Roman Bold Italic" w:hAnsi="Times New Roman Bold Italic"/>
          <w:color w:val="000000"/>
          <w:w w:val="102"/>
          <w:sz w:val="18"/>
        </w:rPr>
        <w:t xml:space="preserve"> HN4</w:t>
      </w:r>
      <w:r>
        <w:rPr>
          <w:color w:val="000000"/>
          <w:w w:val="102"/>
          <w:sz w:val="18"/>
        </w:rPr>
        <w:t xml:space="preserve"> “The execution of a contract in writing, whether the law requires it to be written or not, su-</w:t>
      </w:r>
      <w:r>
        <w:rPr>
          <w:color w:val="000000"/>
          <w:w w:val="102"/>
          <w:sz w:val="18"/>
        </w:rPr>
        <w:br/>
        <w:t>persedes all the negotiations or stipulations concerning its matter which preceded or accompanied the execution of</w:t>
      </w:r>
      <w:r>
        <w:rPr>
          <w:color w:val="000000"/>
          <w:w w:val="102"/>
          <w:sz w:val="18"/>
        </w:rPr>
        <w:t xml:space="preserve"> the instru-</w:t>
      </w:r>
    </w:p>
    <w:p w:rsidR="00491B30" w:rsidRDefault="00491B30">
      <w:pPr>
        <w:spacing w:line="230" w:lineRule="exact"/>
        <w:ind w:left="5183"/>
        <w:rPr>
          <w:color w:val="000000"/>
          <w:w w:val="102"/>
          <w:sz w:val="18"/>
        </w:rPr>
      </w:pPr>
    </w:p>
    <w:p w:rsidR="00491B30" w:rsidRDefault="00BA5DC6">
      <w:pPr>
        <w:spacing w:before="66" w:line="230" w:lineRule="exact"/>
        <w:ind w:left="5183"/>
        <w:rPr>
          <w:color w:val="000000"/>
          <w:spacing w:val="-1"/>
          <w:sz w:val="20"/>
        </w:rPr>
      </w:pPr>
      <w:r>
        <w:rPr>
          <w:color w:val="000000"/>
          <w:spacing w:val="-1"/>
          <w:sz w:val="20"/>
        </w:rPr>
        <w:t xml:space="preserve">Charles Cox </w:t>
      </w:r>
      <w:r>
        <w:rPr>
          <w:color w:val="000000"/>
          <w:spacing w:val="-1"/>
          <w:sz w:val="20"/>
        </w:rPr>
        <w:pict>
          <v:line id="_x0000_s1099" style="position:absolute;left:0;text-align:left;z-index:-251585536;mso-position-horizontal-relative:page;mso-position-vertical-relative:page" from="66.5pt,528.25pt" to="545.45pt,528.25pt" o:allowincell="f" strokeweight="1.5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83"/>
        <w:rPr>
          <w:color w:val="000000"/>
          <w:sz w:val="20"/>
        </w:rPr>
      </w:pPr>
      <w:bookmarkStart w:id="7" w:name="Pg8"/>
      <w:bookmarkEnd w:id="7"/>
      <w:r>
        <w:rPr>
          <w:color w:val="000000"/>
          <w:sz w:val="20"/>
        </w:rPr>
        <w:lastRenderedPageBreak/>
        <w:t>55 Cal. 4th 1169, *1174; 2013 Cal. LEXIS 253, **6</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59" w:lineRule="exact"/>
        <w:ind w:left="898"/>
        <w:jc w:val="both"/>
        <w:rPr>
          <w:color w:val="000000"/>
          <w:sz w:val="20"/>
        </w:rPr>
      </w:pPr>
    </w:p>
    <w:p w:rsidR="00491B30" w:rsidRDefault="00491B30">
      <w:pPr>
        <w:spacing w:line="259" w:lineRule="exact"/>
        <w:ind w:left="898"/>
        <w:jc w:val="both"/>
        <w:rPr>
          <w:color w:val="000000"/>
          <w:sz w:val="20"/>
        </w:rPr>
      </w:pPr>
    </w:p>
    <w:p w:rsidR="00491B30" w:rsidRDefault="00BA5DC6">
      <w:pPr>
        <w:spacing w:before="22" w:line="259" w:lineRule="exact"/>
        <w:ind w:left="898"/>
        <w:jc w:val="both"/>
        <w:rPr>
          <w:color w:val="000000"/>
        </w:rPr>
      </w:pPr>
      <w:r>
        <w:rPr>
          <w:color w:val="0000FF"/>
          <w:u w:val="single"/>
        </w:rPr>
        <w:t xml:space="preserve"> Cal.4th 336, 343 [9 Cal. Rptr. 3d 97, 83 P.3d </w:t>
      </w:r>
      <w:r>
        <w:rPr>
          <w:color w:val="0000FF"/>
          <w:u w:val="single"/>
        </w:rPr>
        <w:br/>
      </w:r>
      <w:r>
        <w:rPr>
          <w:color w:val="0000FF"/>
          <w:w w:val="104"/>
          <w:u w:val="single"/>
        </w:rPr>
        <w:t>497]</w:t>
      </w:r>
      <w:r>
        <w:rPr>
          <w:color w:val="000000"/>
          <w:w w:val="104"/>
        </w:rPr>
        <w:t xml:space="preserve"> (</w:t>
      </w:r>
      <w:r>
        <w:rPr>
          <w:rFonts w:ascii="Times New Roman Italic" w:hAnsi="Times New Roman Italic"/>
          <w:color w:val="000000"/>
          <w:w w:val="104"/>
        </w:rPr>
        <w:t>Casa Herrera</w:t>
      </w:r>
      <w:r>
        <w:rPr>
          <w:color w:val="000000"/>
          <w:w w:val="104"/>
        </w:rPr>
        <w:t>).) “An integrated agree-</w:t>
      </w:r>
      <w:r>
        <w:rPr>
          <w:color w:val="000000"/>
          <w:w w:val="104"/>
        </w:rPr>
        <w:br/>
      </w:r>
      <w:r>
        <w:rPr>
          <w:color w:val="000000"/>
          <w:spacing w:val="-1"/>
        </w:rPr>
        <w:t>ment is a writing or writings constituting a fi-</w:t>
      </w:r>
      <w:r>
        <w:rPr>
          <w:color w:val="000000"/>
          <w:spacing w:val="-1"/>
        </w:rPr>
        <w:br/>
      </w:r>
      <w:r>
        <w:rPr>
          <w:color w:val="000000"/>
          <w:spacing w:val="-3"/>
        </w:rPr>
        <w:t xml:space="preserve">nal </w:t>
      </w:r>
      <w:r>
        <w:rPr>
          <w:color w:val="000000"/>
          <w:spacing w:val="-3"/>
        </w:rPr>
        <w:t>expression of one or more terms of an agree-</w:t>
      </w:r>
      <w:r>
        <w:rPr>
          <w:color w:val="000000"/>
          <w:spacing w:val="-3"/>
        </w:rPr>
        <w:br/>
      </w:r>
      <w:r>
        <w:rPr>
          <w:color w:val="000000"/>
        </w:rPr>
        <w:t>ment.” (</w:t>
      </w:r>
      <w:r>
        <w:rPr>
          <w:rFonts w:ascii="Times New Roman Italic" w:hAnsi="Times New Roman Italic"/>
          <w:color w:val="0000FF"/>
          <w:u w:val="single"/>
        </w:rPr>
        <w:t xml:space="preserve"> Rest.2d Contracts, § 209</w:t>
      </w:r>
      <w:r>
        <w:rPr>
          <w:color w:val="000000"/>
        </w:rPr>
        <w:t>, subd. (1);</w:t>
      </w:r>
    </w:p>
    <w:p w:rsidR="00491B30" w:rsidRDefault="00BA5DC6">
      <w:pPr>
        <w:spacing w:before="1" w:line="259" w:lineRule="exact"/>
        <w:ind w:left="898" w:right="90"/>
        <w:jc w:val="both"/>
        <w:rPr>
          <w:color w:val="000000"/>
          <w:w w:val="101"/>
        </w:rPr>
      </w:pPr>
      <w:r>
        <w:rPr>
          <w:color w:val="000000"/>
        </w:rPr>
        <w:t>see</w:t>
      </w:r>
      <w:r>
        <w:rPr>
          <w:rFonts w:ascii="Times New Roman Italic" w:hAnsi="Times New Roman Italic"/>
          <w:color w:val="0000FF"/>
        </w:rPr>
        <w:t xml:space="preserve"> </w:t>
      </w:r>
      <w:r>
        <w:rPr>
          <w:rFonts w:ascii="Times New Roman Italic" w:hAnsi="Times New Roman Italic"/>
          <w:color w:val="0000FF"/>
          <w:u w:val="single"/>
        </w:rPr>
        <w:t xml:space="preserve"> Alling v. Universal Manufacturing Corp. </w:t>
      </w:r>
      <w:r>
        <w:rPr>
          <w:color w:val="0000FF"/>
          <w:u w:val="single"/>
        </w:rPr>
        <w:t xml:space="preserve"> (1992) 5 Cal.App.4th 1412, 1433 [7 Cal. Rptr. </w:t>
      </w:r>
      <w:r>
        <w:rPr>
          <w:color w:val="0000FF"/>
          <w:spacing w:val="-1"/>
          <w:u w:val="single"/>
        </w:rPr>
        <w:t>2d 718]</w:t>
      </w:r>
      <w:r>
        <w:rPr>
          <w:color w:val="000000"/>
          <w:spacing w:val="-1"/>
        </w:rPr>
        <w:t xml:space="preserve">.) </w:t>
      </w:r>
      <w:r>
        <w:rPr>
          <w:rFonts w:ascii="Times New Roman Bold" w:hAnsi="Times New Roman Bold"/>
          <w:color w:val="000000"/>
          <w:w w:val="101"/>
        </w:rPr>
        <w:t>[**7]</w:t>
      </w:r>
      <w:r>
        <w:rPr>
          <w:color w:val="000000"/>
          <w:w w:val="101"/>
        </w:rPr>
        <w:t xml:space="preserve"> There is no dispute in this</w:t>
      </w:r>
    </w:p>
    <w:p w:rsidR="00491B30" w:rsidRDefault="00BA5DC6">
      <w:pPr>
        <w:spacing w:before="1" w:line="259" w:lineRule="exact"/>
        <w:ind w:left="898"/>
        <w:rPr>
          <w:color w:val="000000"/>
        </w:rPr>
      </w:pPr>
      <w:r>
        <w:rPr>
          <w:color w:val="000000"/>
        </w:rPr>
        <w:t xml:space="preserve">case that the parties’ </w:t>
      </w:r>
      <w:r>
        <w:rPr>
          <w:color w:val="000000"/>
        </w:rPr>
        <w:t>agreement was integrated.</w:t>
      </w:r>
    </w:p>
    <w:p w:rsidR="00491B30" w:rsidRDefault="00BA5DC6">
      <w:pPr>
        <w:spacing w:before="200" w:line="259" w:lineRule="exact"/>
        <w:ind w:left="898"/>
        <w:rPr>
          <w:color w:val="000000"/>
          <w:spacing w:val="-1"/>
        </w:rPr>
      </w:pPr>
      <w:r>
        <w:rPr>
          <w:rFonts w:ascii="Times New Roman Bold Italic" w:hAnsi="Times New Roman Bold Italic"/>
          <w:color w:val="000000"/>
          <w:spacing w:val="-1"/>
        </w:rPr>
        <w:t>HN5 CA(2)</w:t>
      </w:r>
      <w:r>
        <w:rPr>
          <w:color w:val="000000"/>
          <w:spacing w:val="-1"/>
        </w:rPr>
        <w:t xml:space="preserve"> (2) Although the parol evidence </w:t>
      </w:r>
      <w:r>
        <w:rPr>
          <w:color w:val="000000"/>
          <w:spacing w:val="-1"/>
        </w:rPr>
        <w:br/>
      </w:r>
      <w:r>
        <w:rPr>
          <w:color w:val="000000"/>
          <w:spacing w:val="-2"/>
        </w:rPr>
        <w:t xml:space="preserve">rule results in the exclusion of evidence, it is not </w:t>
      </w:r>
      <w:r>
        <w:rPr>
          <w:color w:val="000000"/>
          <w:spacing w:val="-2"/>
        </w:rPr>
        <w:br/>
      </w:r>
      <w:r>
        <w:rPr>
          <w:color w:val="000000"/>
        </w:rPr>
        <w:t xml:space="preserve">a rule of evidence but one of substantive law. </w:t>
      </w:r>
      <w:r>
        <w:rPr>
          <w:color w:val="000000"/>
        </w:rPr>
        <w:br/>
      </w:r>
      <w:r>
        <w:rPr>
          <w:color w:val="000000"/>
          <w:spacing w:val="-3"/>
        </w:rPr>
        <w:t>(</w:t>
      </w:r>
      <w:r>
        <w:rPr>
          <w:rFonts w:ascii="Times New Roman Italic" w:hAnsi="Times New Roman Italic"/>
          <w:color w:val="0000FF"/>
          <w:spacing w:val="-3"/>
          <w:u w:val="single"/>
        </w:rPr>
        <w:t xml:space="preserve"> Casa Herrera, supra</w:t>
      </w:r>
      <w:r>
        <w:rPr>
          <w:color w:val="0000FF"/>
          <w:spacing w:val="-3"/>
          <w:u w:val="single"/>
        </w:rPr>
        <w:t xml:space="preserve"> , 32 Cal.4th at p. 343</w:t>
      </w:r>
      <w:r>
        <w:rPr>
          <w:color w:val="000000"/>
          <w:spacing w:val="-3"/>
        </w:rPr>
        <w:t xml:space="preserve">.) It is </w:t>
      </w:r>
      <w:r>
        <w:rPr>
          <w:color w:val="000000"/>
          <w:spacing w:val="-3"/>
        </w:rPr>
        <w:br/>
      </w:r>
      <w:r>
        <w:rPr>
          <w:color w:val="000000"/>
        </w:rPr>
        <w:t>founded on the principle that w</w:t>
      </w:r>
      <w:r>
        <w:rPr>
          <w:color w:val="000000"/>
        </w:rPr>
        <w:t xml:space="preserve">hen the parties </w:t>
      </w:r>
      <w:r>
        <w:rPr>
          <w:color w:val="000000"/>
        </w:rPr>
        <w:br/>
      </w:r>
      <w:r>
        <w:rPr>
          <w:color w:val="000000"/>
          <w:w w:val="102"/>
        </w:rPr>
        <w:t xml:space="preserve">put all the terms of their agreement in writing, </w:t>
      </w:r>
      <w:r>
        <w:rPr>
          <w:color w:val="000000"/>
          <w:w w:val="102"/>
        </w:rPr>
        <w:br/>
      </w:r>
      <w:r>
        <w:rPr>
          <w:color w:val="000000"/>
        </w:rPr>
        <w:t xml:space="preserve">the writing itself becomes the agreement. The </w:t>
      </w:r>
      <w:r>
        <w:rPr>
          <w:color w:val="000000"/>
        </w:rPr>
        <w:br/>
      </w:r>
      <w:r>
        <w:rPr>
          <w:color w:val="000000"/>
          <w:w w:val="102"/>
        </w:rPr>
        <w:t>written terms supersede statements made dur-</w:t>
      </w:r>
      <w:r>
        <w:rPr>
          <w:color w:val="000000"/>
          <w:w w:val="102"/>
        </w:rPr>
        <w:br/>
      </w:r>
      <w:r>
        <w:rPr>
          <w:color w:val="000000"/>
          <w:spacing w:val="-1"/>
        </w:rPr>
        <w:t>ing the negotiations. Extrinsic evidence of</w:t>
      </w:r>
    </w:p>
    <w:p w:rsidR="00491B30" w:rsidRDefault="00BA5DC6">
      <w:pPr>
        <w:spacing w:before="1" w:line="259" w:lineRule="exact"/>
        <w:ind w:left="898"/>
        <w:rPr>
          <w:color w:val="000000"/>
          <w:spacing w:val="-4"/>
        </w:rPr>
      </w:pPr>
      <w:r>
        <w:rPr>
          <w:color w:val="000000"/>
        </w:rPr>
        <w:t>the agreement’s terms is thus</w:t>
      </w:r>
      <w:r>
        <w:rPr>
          <w:rFonts w:ascii="Times New Roman Italic" w:hAnsi="Times New Roman Italic"/>
          <w:color w:val="000000"/>
        </w:rPr>
        <w:t xml:space="preserve"> irrelevant</w:t>
      </w:r>
      <w:r>
        <w:rPr>
          <w:color w:val="000000"/>
        </w:rPr>
        <w:t xml:space="preserve">, and </w:t>
      </w:r>
      <w:r>
        <w:rPr>
          <w:color w:val="000000"/>
        </w:rPr>
        <w:br/>
      </w:r>
      <w:r>
        <w:rPr>
          <w:color w:val="000000"/>
          <w:spacing w:val="-4"/>
        </w:rPr>
        <w:t>cannot</w:t>
      </w:r>
      <w:r>
        <w:rPr>
          <w:color w:val="000000"/>
          <w:spacing w:val="-4"/>
        </w:rPr>
        <w:t xml:space="preserve"> be relied upon. (</w:t>
      </w:r>
      <w:r>
        <w:rPr>
          <w:rFonts w:ascii="Times New Roman Italic" w:hAnsi="Times New Roman Italic"/>
          <w:color w:val="0000FF"/>
          <w:spacing w:val="-4"/>
          <w:u w:val="single"/>
        </w:rPr>
        <w:t xml:space="preserve"> Casa Herrera</w:t>
      </w:r>
      <w:r>
        <w:rPr>
          <w:color w:val="0000FF"/>
          <w:spacing w:val="-4"/>
          <w:u w:val="single"/>
        </w:rPr>
        <w:t xml:space="preserve"> , at p. 344</w:t>
      </w:r>
      <w:r>
        <w:rPr>
          <w:color w:val="000000"/>
          <w:spacing w:val="-4"/>
        </w:rPr>
        <w:t>.)</w:t>
      </w:r>
    </w:p>
    <w:p w:rsidR="00491B30" w:rsidRDefault="00BA5DC6">
      <w:pPr>
        <w:spacing w:before="1" w:line="259" w:lineRule="exact"/>
        <w:ind w:left="898" w:right="25" w:firstLine="79"/>
        <w:jc w:val="both"/>
        <w:rPr>
          <w:color w:val="000000"/>
          <w:spacing w:val="-1"/>
        </w:rPr>
      </w:pPr>
      <w:r>
        <w:rPr>
          <w:rFonts w:ascii="Times New Roman Bold" w:hAnsi="Times New Roman Bold"/>
          <w:color w:val="000000"/>
        </w:rPr>
        <w:t>[**8]</w:t>
      </w:r>
      <w:r>
        <w:rPr>
          <w:color w:val="000000"/>
        </w:rPr>
        <w:t xml:space="preserve"> “[T]he parol evidence rule, unlike the </w:t>
      </w:r>
      <w:r>
        <w:rPr>
          <w:color w:val="000000"/>
          <w:w w:val="101"/>
        </w:rPr>
        <w:t>statute of frauds, does not merely serve an evi-</w:t>
      </w:r>
      <w:r>
        <w:rPr>
          <w:color w:val="000000"/>
          <w:w w:val="101"/>
        </w:rPr>
        <w:br/>
      </w:r>
      <w:r>
        <w:rPr>
          <w:color w:val="000000"/>
          <w:spacing w:val="-1"/>
        </w:rPr>
        <w:t>dentiary purpose; it determines the enforce-</w:t>
      </w:r>
    </w:p>
    <w:p w:rsidR="00491B30" w:rsidRDefault="00BA5DC6">
      <w:pPr>
        <w:spacing w:before="1" w:line="259" w:lineRule="exact"/>
        <w:ind w:left="898"/>
        <w:jc w:val="both"/>
        <w:rPr>
          <w:rFonts w:ascii="Times New Roman Italic" w:hAnsi="Times New Roman Italic"/>
          <w:color w:val="0000FF"/>
          <w:u w:val="single"/>
        </w:rPr>
      </w:pPr>
      <w:r>
        <w:rPr>
          <w:color w:val="000000"/>
        </w:rPr>
        <w:t xml:space="preserve">able and incontrovertible terms of an integrated </w:t>
      </w:r>
      <w:r>
        <w:rPr>
          <w:color w:val="000000"/>
        </w:rPr>
        <w:br/>
        <w:t>written agreement.” (</w:t>
      </w:r>
      <w:r>
        <w:rPr>
          <w:rFonts w:ascii="Times New Roman Italic" w:hAnsi="Times New Roman Italic"/>
          <w:color w:val="0000FF"/>
          <w:u w:val="single"/>
        </w:rPr>
        <w:t xml:space="preserve"> Id.</w:t>
      </w:r>
      <w:r>
        <w:rPr>
          <w:color w:val="0000FF"/>
          <w:u w:val="single"/>
        </w:rPr>
        <w:t xml:space="preserve">  at p. 345</w:t>
      </w:r>
      <w:r>
        <w:rPr>
          <w:color w:val="000000"/>
        </w:rPr>
        <w:t>; cf.</w:t>
      </w:r>
      <w:r>
        <w:rPr>
          <w:rFonts w:ascii="Times New Roman Italic" w:hAnsi="Times New Roman Italic"/>
          <w:color w:val="0000FF"/>
        </w:rPr>
        <w:t xml:space="preserve"> </w:t>
      </w:r>
      <w:r>
        <w:rPr>
          <w:rFonts w:ascii="Times New Roman Italic" w:hAnsi="Times New Roman Italic"/>
          <w:color w:val="0000FF"/>
          <w:u w:val="single"/>
        </w:rPr>
        <w:t xml:space="preserve"> Sterling</w:t>
      </w:r>
    </w:p>
    <w:p w:rsidR="00491B30" w:rsidRDefault="00BA5DC6">
      <w:pPr>
        <w:spacing w:before="1" w:line="259" w:lineRule="exact"/>
        <w:ind w:left="898"/>
        <w:rPr>
          <w:color w:val="000000"/>
          <w:spacing w:val="-1"/>
        </w:rPr>
      </w:pPr>
      <w:r>
        <w:rPr>
          <w:rFonts w:ascii="Times New Roman Italic" w:hAnsi="Times New Roman Italic"/>
          <w:color w:val="0000FF"/>
          <w:w w:val="104"/>
          <w:u w:val="single"/>
        </w:rPr>
        <w:t>v. Taylor</w:t>
      </w:r>
      <w:r>
        <w:rPr>
          <w:color w:val="0000FF"/>
          <w:w w:val="104"/>
          <w:u w:val="single"/>
        </w:rPr>
        <w:t xml:space="preserve">  (2007) 40 Cal.4th 757, 766 [55 Cal. </w:t>
      </w:r>
      <w:r>
        <w:rPr>
          <w:color w:val="0000FF"/>
          <w:w w:val="104"/>
          <w:u w:val="single"/>
        </w:rPr>
        <w:br/>
      </w:r>
      <w:r>
        <w:rPr>
          <w:color w:val="0000FF"/>
          <w:spacing w:val="-1"/>
          <w:u w:val="single"/>
        </w:rPr>
        <w:t>Rptr. 3d 116, 152 P.3d 420]</w:t>
      </w:r>
      <w:r>
        <w:rPr>
          <w:color w:val="000000"/>
          <w:spacing w:val="-1"/>
        </w:rPr>
        <w:t xml:space="preserve"> [explaining evi-</w:t>
      </w:r>
      <w:r>
        <w:rPr>
          <w:color w:val="000000"/>
          <w:spacing w:val="-1"/>
        </w:rPr>
        <w:br/>
      </w:r>
      <w:r>
        <w:rPr>
          <w:color w:val="000000"/>
          <w:spacing w:val="-2"/>
        </w:rPr>
        <w:t>dentiary function of statute of frauds].) The pur-</w:t>
      </w:r>
      <w:r>
        <w:rPr>
          <w:color w:val="000000"/>
          <w:spacing w:val="-2"/>
        </w:rPr>
        <w:br/>
      </w:r>
      <w:r>
        <w:rPr>
          <w:color w:val="000000"/>
          <w:spacing w:val="-1"/>
        </w:rPr>
        <w:t>pose of the rule is to ensure that the parties’ fi-</w:t>
      </w:r>
      <w:r>
        <w:rPr>
          <w:color w:val="000000"/>
          <w:spacing w:val="-1"/>
        </w:rPr>
        <w:br/>
        <w:t xml:space="preserve">nal understanding, </w:t>
      </w:r>
      <w:r>
        <w:rPr>
          <w:color w:val="000000"/>
          <w:spacing w:val="-1"/>
        </w:rPr>
        <w:t>deliberately expressed in</w:t>
      </w:r>
    </w:p>
    <w:p w:rsidR="00491B30" w:rsidRDefault="00BA5DC6">
      <w:pPr>
        <w:spacing w:before="1" w:line="259" w:lineRule="exact"/>
        <w:ind w:left="898" w:right="251"/>
        <w:jc w:val="both"/>
        <w:rPr>
          <w:color w:val="000000"/>
        </w:rPr>
      </w:pPr>
      <w:r>
        <w:rPr>
          <w:color w:val="000000"/>
        </w:rPr>
        <w:t>writing, is not subject to change. (</w:t>
      </w:r>
      <w:r>
        <w:rPr>
          <w:rFonts w:ascii="Times New Roman Italic" w:hAnsi="Times New Roman Italic"/>
          <w:color w:val="0000FF"/>
          <w:u w:val="single"/>
        </w:rPr>
        <w:t xml:space="preserve"> Casa Her-</w:t>
      </w:r>
      <w:r>
        <w:rPr>
          <w:rFonts w:ascii="Times New Roman Italic" w:hAnsi="Times New Roman Italic"/>
          <w:color w:val="0000FF"/>
          <w:u w:val="single"/>
        </w:rPr>
        <w:br/>
        <w:t>rera</w:t>
      </w:r>
      <w:r>
        <w:rPr>
          <w:color w:val="0000FF"/>
          <w:u w:val="single"/>
        </w:rPr>
        <w:t xml:space="preserve"> , at p. 345</w:t>
      </w:r>
      <w:r>
        <w:rPr>
          <w:color w:val="000000"/>
        </w:rPr>
        <w:t>.)</w:t>
      </w:r>
    </w:p>
    <w:p w:rsidR="00491B30" w:rsidRDefault="00BA5DC6">
      <w:pPr>
        <w:spacing w:before="200" w:line="259" w:lineRule="exact"/>
        <w:ind w:left="898"/>
        <w:jc w:val="both"/>
        <w:rPr>
          <w:color w:val="000000"/>
        </w:rPr>
      </w:pPr>
      <w:r>
        <w:rPr>
          <w:rFonts w:ascii="Times New Roman Bold Italic" w:hAnsi="Times New Roman Bold Italic"/>
          <w:color w:val="000000"/>
          <w:spacing w:val="-2"/>
        </w:rPr>
        <w:t>HN6 CA(3)</w:t>
      </w:r>
      <w:r>
        <w:rPr>
          <w:color w:val="000000"/>
          <w:spacing w:val="-2"/>
        </w:rPr>
        <w:t xml:space="preserve"> (3)</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Section 1856, subdivision (f)</w:t>
      </w:r>
      <w:r>
        <w:rPr>
          <w:color w:val="000000"/>
          <w:spacing w:val="-2"/>
        </w:rPr>
        <w:t xml:space="preserve"> es-</w:t>
      </w:r>
      <w:r>
        <w:rPr>
          <w:color w:val="000000"/>
          <w:spacing w:val="-2"/>
        </w:rPr>
        <w:br/>
      </w:r>
      <w:r>
        <w:rPr>
          <w:color w:val="000000"/>
        </w:rPr>
        <w:t>tablishes a broad exception to the operation</w:t>
      </w:r>
    </w:p>
    <w:p w:rsidR="00491B30" w:rsidRDefault="00BA5DC6">
      <w:pPr>
        <w:spacing w:line="259" w:lineRule="exact"/>
        <w:ind w:left="898" w:right="58"/>
        <w:jc w:val="both"/>
        <w:rPr>
          <w:color w:val="000000"/>
        </w:rPr>
      </w:pPr>
      <w:r>
        <w:rPr>
          <w:color w:val="000000"/>
        </w:rPr>
        <w:t xml:space="preserve">of the parol evidence rule: “Where the validity </w:t>
      </w:r>
      <w:r>
        <w:rPr>
          <w:color w:val="000000"/>
        </w:rPr>
        <w:br/>
      </w:r>
      <w:r>
        <w:rPr>
          <w:color w:val="000000"/>
          <w:spacing w:val="-4"/>
        </w:rPr>
        <w:t>of the agreement is t</w:t>
      </w:r>
      <w:r>
        <w:rPr>
          <w:color w:val="000000"/>
          <w:spacing w:val="-4"/>
        </w:rPr>
        <w:t>he fact in dispute, this sec-</w:t>
      </w:r>
      <w:r>
        <w:rPr>
          <w:color w:val="000000"/>
          <w:spacing w:val="-4"/>
        </w:rPr>
        <w:br/>
      </w:r>
      <w:r>
        <w:rPr>
          <w:color w:val="000000"/>
        </w:rPr>
        <w:t xml:space="preserve">tion does not exclude evidence relevant to that </w:t>
      </w:r>
      <w:r>
        <w:rPr>
          <w:color w:val="000000"/>
        </w:rPr>
        <w:br/>
        <w:t>issue.” This provision rests on the principle</w:t>
      </w:r>
    </w:p>
    <w:p w:rsidR="00491B30" w:rsidRDefault="00BA5DC6">
      <w:pPr>
        <w:spacing w:before="1" w:line="259" w:lineRule="exact"/>
        <w:ind w:left="898"/>
        <w:jc w:val="both"/>
        <w:rPr>
          <w:color w:val="000000"/>
        </w:rPr>
      </w:pPr>
      <w:r>
        <w:rPr>
          <w:color w:val="000000"/>
        </w:rPr>
        <w:t>that the parol evidence rule, intended to protect the</w:t>
      </w:r>
      <w:r>
        <w:rPr>
          <w:rFonts w:ascii="Times New Roman Italic" w:hAnsi="Times New Roman Italic"/>
          <w:color w:val="000000"/>
        </w:rPr>
        <w:t xml:space="preserve"> terms</w:t>
      </w:r>
      <w:r>
        <w:rPr>
          <w:color w:val="000000"/>
        </w:rPr>
        <w:t xml:space="preserve"> of a valid written contract, should</w:t>
      </w:r>
    </w:p>
    <w:p w:rsidR="00491B30" w:rsidRDefault="00BA5DC6">
      <w:pPr>
        <w:spacing w:before="1" w:line="259" w:lineRule="exact"/>
        <w:ind w:left="898" w:right="18"/>
        <w:jc w:val="both"/>
        <w:rPr>
          <w:rFonts w:ascii="Times New Roman Bold" w:hAnsi="Times New Roman Bold"/>
          <w:color w:val="000000"/>
          <w:spacing w:val="-5"/>
        </w:rPr>
      </w:pPr>
      <w:r>
        <w:rPr>
          <w:color w:val="000000"/>
        </w:rPr>
        <w:t>not bar evidence challenging the</w:t>
      </w:r>
      <w:r>
        <w:rPr>
          <w:rFonts w:ascii="Times New Roman Italic" w:hAnsi="Times New Roman Italic"/>
          <w:color w:val="000000"/>
        </w:rPr>
        <w:t xml:space="preserve"> validity</w:t>
      </w:r>
      <w:r>
        <w:rPr>
          <w:color w:val="000000"/>
        </w:rPr>
        <w:t xml:space="preserve"> of the </w:t>
      </w:r>
      <w:r>
        <w:rPr>
          <w:color w:val="000000"/>
        </w:rPr>
        <w:br/>
      </w:r>
      <w:r>
        <w:rPr>
          <w:color w:val="000000"/>
          <w:spacing w:val="-1"/>
        </w:rPr>
        <w:t xml:space="preserve">agreement itself. “Evidence to prove </w:t>
      </w:r>
      <w:r>
        <w:rPr>
          <w:rFonts w:ascii="Times New Roman Bold" w:hAnsi="Times New Roman Bold"/>
          <w:color w:val="000000"/>
          <w:spacing w:val="-5"/>
        </w:rPr>
        <w:t>[*1175]</w:t>
      </w:r>
    </w:p>
    <w:p w:rsidR="00491B30" w:rsidRDefault="00BA5DC6">
      <w:pPr>
        <w:spacing w:before="1" w:line="259" w:lineRule="exact"/>
        <w:ind w:left="898" w:right="18"/>
        <w:jc w:val="both"/>
        <w:rPr>
          <w:color w:val="000000"/>
          <w:spacing w:val="-1"/>
        </w:rPr>
      </w:pPr>
      <w:r>
        <w:rPr>
          <w:color w:val="000000"/>
          <w:w w:val="101"/>
        </w:rPr>
        <w:t>that the instrument is void or voidable for mis-</w:t>
      </w:r>
      <w:r>
        <w:rPr>
          <w:color w:val="000000"/>
          <w:w w:val="101"/>
        </w:rPr>
        <w:br/>
      </w:r>
      <w:r>
        <w:rPr>
          <w:color w:val="000000"/>
          <w:spacing w:val="-1"/>
        </w:rPr>
        <w:t>take, fraud, duress, undue influence, illegal-</w:t>
      </w:r>
    </w:p>
    <w:p w:rsidR="00491B30" w:rsidRDefault="00BA5DC6">
      <w:pPr>
        <w:spacing w:line="259" w:lineRule="exact"/>
        <w:ind w:left="5807"/>
        <w:jc w:val="both"/>
        <w:rPr>
          <w:color w:val="000000"/>
          <w:spacing w:val="-1"/>
        </w:rPr>
      </w:pPr>
      <w:r>
        <w:rPr>
          <w:color w:val="000000"/>
          <w:spacing w:val="-1"/>
        </w:rPr>
        <w:br w:type="column"/>
      </w:r>
    </w:p>
    <w:p w:rsidR="00491B30" w:rsidRDefault="00491B30">
      <w:pPr>
        <w:spacing w:line="259" w:lineRule="exact"/>
        <w:ind w:left="5807"/>
        <w:jc w:val="both"/>
        <w:rPr>
          <w:color w:val="000000"/>
          <w:spacing w:val="-1"/>
        </w:rPr>
      </w:pPr>
    </w:p>
    <w:p w:rsidR="00491B30" w:rsidRDefault="00BA5DC6">
      <w:pPr>
        <w:spacing w:before="22" w:line="259" w:lineRule="exact"/>
        <w:ind w:left="20" w:right="703"/>
        <w:jc w:val="both"/>
        <w:rPr>
          <w:color w:val="000000"/>
          <w:spacing w:val="-1"/>
        </w:rPr>
      </w:pPr>
      <w:r>
        <w:rPr>
          <w:color w:val="000000"/>
          <w:spacing w:val="-1"/>
        </w:rPr>
        <w:t>ity, alteration, lack of consideration, or another invalidating cause is admissible. This evi-</w:t>
      </w:r>
    </w:p>
    <w:p w:rsidR="00491B30" w:rsidRDefault="00BA5DC6">
      <w:pPr>
        <w:spacing w:line="259" w:lineRule="exact"/>
        <w:ind w:left="20" w:right="639"/>
        <w:rPr>
          <w:color w:val="000000"/>
        </w:rPr>
      </w:pPr>
      <w:r>
        <w:rPr>
          <w:color w:val="000000"/>
        </w:rPr>
        <w:t>dence does not contradict the terms of an effec-</w:t>
      </w:r>
      <w:r>
        <w:rPr>
          <w:color w:val="000000"/>
        </w:rPr>
        <w:br/>
        <w:t xml:space="preserve">tive integration, because it shows </w:t>
      </w:r>
      <w:r>
        <w:rPr>
          <w:rFonts w:ascii="Times New Roman Bold" w:hAnsi="Times New Roman Bold"/>
          <w:color w:val="000000"/>
          <w:spacing w:val="-1"/>
        </w:rPr>
        <w:t>[**9]</w:t>
      </w:r>
      <w:r>
        <w:rPr>
          <w:color w:val="000000"/>
          <w:spacing w:val="-1"/>
        </w:rPr>
        <w:t xml:space="preserve"> that </w:t>
      </w:r>
      <w:r>
        <w:rPr>
          <w:color w:val="000000"/>
          <w:spacing w:val="-1"/>
        </w:rPr>
        <w:br/>
      </w:r>
      <w:r>
        <w:rPr>
          <w:color w:val="000000"/>
          <w:spacing w:val="-2"/>
        </w:rPr>
        <w:t xml:space="preserve">the purported instrument has no legal effect.” (2 </w:t>
      </w:r>
      <w:r>
        <w:rPr>
          <w:color w:val="000000"/>
          <w:spacing w:val="-2"/>
        </w:rPr>
        <w:br/>
      </w:r>
      <w:r>
        <w:rPr>
          <w:color w:val="000000"/>
        </w:rPr>
        <w:t>Witkin, Cal. Evidence (5th ed. 2012) Docu-</w:t>
      </w:r>
    </w:p>
    <w:p w:rsidR="00491B30" w:rsidRDefault="00BA5DC6">
      <w:pPr>
        <w:spacing w:line="259" w:lineRule="exact"/>
        <w:ind w:left="20" w:right="681"/>
        <w:jc w:val="both"/>
        <w:rPr>
          <w:color w:val="000000"/>
        </w:rPr>
      </w:pPr>
      <w:r>
        <w:rPr>
          <w:color w:val="000000"/>
          <w:w w:val="101"/>
        </w:rPr>
        <w:t>mentary Evidence, § 97, p. 242; see</w:t>
      </w:r>
      <w:r>
        <w:rPr>
          <w:rFonts w:ascii="Times New Roman Italic" w:hAnsi="Times New Roman Italic"/>
          <w:color w:val="000000"/>
          <w:w w:val="101"/>
        </w:rPr>
        <w:t xml:space="preserve"> id</w:t>
      </w:r>
      <w:r>
        <w:rPr>
          <w:color w:val="000000"/>
          <w:w w:val="101"/>
        </w:rPr>
        <w:t xml:space="preserve">., §§ 66, </w:t>
      </w:r>
      <w:r>
        <w:rPr>
          <w:color w:val="000000"/>
        </w:rPr>
        <w:t xml:space="preserve">72, pp. 206, </w:t>
      </w:r>
      <w:r>
        <w:rPr>
          <w:color w:val="000000"/>
        </w:rPr>
        <w:t>211.) The fraud exception is ex-</w:t>
      </w:r>
      <w:r>
        <w:rPr>
          <w:color w:val="000000"/>
        </w:rPr>
        <w:br/>
        <w:t>pressly stated in</w:t>
      </w:r>
      <w:r>
        <w:rPr>
          <w:rFonts w:ascii="Times New Roman Italic" w:hAnsi="Times New Roman Italic"/>
          <w:color w:val="0000FF"/>
        </w:rPr>
        <w:t xml:space="preserve"> </w:t>
      </w:r>
      <w:r>
        <w:rPr>
          <w:rFonts w:ascii="Times New Roman Italic" w:hAnsi="Times New Roman Italic"/>
          <w:color w:val="0000FF"/>
          <w:u w:val="single"/>
        </w:rPr>
        <w:t xml:space="preserve"> section 1856, subdivision (g)</w:t>
      </w:r>
      <w:r>
        <w:rPr>
          <w:color w:val="000000"/>
        </w:rPr>
        <w:t>: “This section does not exclude other evi-</w:t>
      </w:r>
    </w:p>
    <w:p w:rsidR="00491B30" w:rsidRDefault="00BA5DC6">
      <w:pPr>
        <w:spacing w:before="1" w:line="259" w:lineRule="exact"/>
        <w:ind w:left="20"/>
        <w:rPr>
          <w:color w:val="000000"/>
        </w:rPr>
      </w:pPr>
      <w:r>
        <w:rPr>
          <w:color w:val="000000"/>
        </w:rPr>
        <w:t>dence</w:t>
      </w:r>
      <w:r>
        <w:rPr>
          <w:rFonts w:ascii="Arial" w:hAnsi="Arial"/>
          <w:color w:val="000000"/>
        </w:rPr>
        <w:t xml:space="preserve"> …</w:t>
      </w:r>
      <w:r>
        <w:rPr>
          <w:color w:val="000000"/>
        </w:rPr>
        <w:t xml:space="preserve"> to establish</w:t>
      </w:r>
      <w:r>
        <w:rPr>
          <w:rFonts w:ascii="Arial" w:hAnsi="Arial"/>
          <w:color w:val="000000"/>
        </w:rPr>
        <w:t xml:space="preserve"> …</w:t>
      </w:r>
      <w:r>
        <w:rPr>
          <w:color w:val="000000"/>
        </w:rPr>
        <w:t xml:space="preserve"> fraud.”</w:t>
      </w:r>
    </w:p>
    <w:p w:rsidR="00491B30" w:rsidRDefault="00BA5DC6">
      <w:pPr>
        <w:spacing w:before="200" w:line="259" w:lineRule="exact"/>
        <w:ind w:left="20" w:right="639"/>
        <w:rPr>
          <w:color w:val="000000"/>
          <w:w w:val="101"/>
        </w:rPr>
      </w:pPr>
      <w:r>
        <w:rPr>
          <w:color w:val="000000"/>
          <w:spacing w:val="-1"/>
        </w:rPr>
        <w:t>Despite the unqualified language of</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section </w:t>
      </w:r>
      <w:r>
        <w:rPr>
          <w:rFonts w:ascii="Times New Roman Italic" w:hAnsi="Times New Roman Italic"/>
          <w:color w:val="0000FF"/>
          <w:spacing w:val="-1"/>
          <w:u w:val="single"/>
        </w:rPr>
        <w:br/>
        <w:t>1856</w:t>
      </w:r>
      <w:r>
        <w:rPr>
          <w:color w:val="000000"/>
          <w:spacing w:val="-1"/>
        </w:rPr>
        <w:t xml:space="preserve">, which broadly permits evidence relevant </w:t>
      </w:r>
      <w:r>
        <w:rPr>
          <w:color w:val="000000"/>
          <w:spacing w:val="-1"/>
        </w:rPr>
        <w:br/>
      </w:r>
      <w:r>
        <w:rPr>
          <w:color w:val="000000"/>
        </w:rPr>
        <w:t xml:space="preserve">to the </w:t>
      </w:r>
      <w:r>
        <w:rPr>
          <w:color w:val="000000"/>
        </w:rPr>
        <w:t>validity of an agreement and specifi-</w:t>
      </w:r>
      <w:r>
        <w:rPr>
          <w:color w:val="000000"/>
        </w:rPr>
        <w:br/>
      </w:r>
      <w:r>
        <w:rPr>
          <w:color w:val="000000"/>
          <w:w w:val="103"/>
        </w:rPr>
        <w:t>cally allows evidence of fraud, the</w:t>
      </w:r>
      <w:r>
        <w:rPr>
          <w:rFonts w:ascii="Times New Roman Italic" w:hAnsi="Times New Roman Italic"/>
          <w:color w:val="000000"/>
          <w:w w:val="103"/>
        </w:rPr>
        <w:t xml:space="preserve"> Pender-</w:t>
      </w:r>
      <w:r>
        <w:rPr>
          <w:rFonts w:ascii="Times New Roman Italic" w:hAnsi="Times New Roman Italic"/>
          <w:color w:val="000000"/>
          <w:w w:val="103"/>
        </w:rPr>
        <w:br/>
      </w:r>
      <w:r>
        <w:rPr>
          <w:rFonts w:ascii="Times New Roman Italic" w:hAnsi="Times New Roman Italic"/>
          <w:color w:val="000000"/>
          <w:spacing w:val="-3"/>
        </w:rPr>
        <w:t>grass</w:t>
      </w:r>
      <w:r>
        <w:rPr>
          <w:color w:val="000000"/>
          <w:spacing w:val="-3"/>
        </w:rPr>
        <w:t xml:space="preserve"> court decided to impose a limitation on the </w:t>
      </w:r>
      <w:r>
        <w:rPr>
          <w:color w:val="000000"/>
          <w:spacing w:val="-3"/>
        </w:rPr>
        <w:br/>
      </w:r>
      <w:r>
        <w:rPr>
          <w:color w:val="000000"/>
        </w:rPr>
        <w:t>fraud exception.</w:t>
      </w:r>
      <w:r>
        <w:rPr>
          <w:color w:val="000000"/>
          <w:vertAlign w:val="superscript"/>
        </w:rPr>
        <w:t xml:space="preserve"> 5</w:t>
      </w:r>
      <w:r>
        <w:rPr>
          <w:color w:val="000000"/>
        </w:rPr>
        <w:t xml:space="preserve"> The facts of</w:t>
      </w:r>
      <w:r>
        <w:rPr>
          <w:rFonts w:ascii="Times New Roman Italic" w:hAnsi="Times New Roman Italic"/>
          <w:color w:val="000000"/>
        </w:rPr>
        <w:t xml:space="preserve"> Pendergrass </w:t>
      </w:r>
      <w:r>
        <w:rPr>
          <w:rFonts w:ascii="Times New Roman Italic" w:hAnsi="Times New Roman Italic"/>
          <w:color w:val="000000"/>
        </w:rPr>
        <w:br/>
      </w:r>
      <w:r>
        <w:rPr>
          <w:color w:val="000000"/>
          <w:spacing w:val="-3"/>
        </w:rPr>
        <w:t>are similar in certain respects to those here. Bor-</w:t>
      </w:r>
      <w:r>
        <w:rPr>
          <w:color w:val="000000"/>
          <w:spacing w:val="-3"/>
        </w:rPr>
        <w:br/>
      </w:r>
      <w:r>
        <w:rPr>
          <w:color w:val="000000"/>
        </w:rPr>
        <w:t>rowers fell behind on thei</w:t>
      </w:r>
      <w:r>
        <w:rPr>
          <w:color w:val="000000"/>
        </w:rPr>
        <w:t xml:space="preserve">r payments. They </w:t>
      </w:r>
      <w:r>
        <w:rPr>
          <w:color w:val="000000"/>
        </w:rPr>
        <w:br/>
        <w:t xml:space="preserve">and the bank executed a new promissory note, </w:t>
      </w:r>
      <w:r>
        <w:rPr>
          <w:color w:val="000000"/>
        </w:rPr>
        <w:br/>
      </w:r>
      <w:r>
        <w:rPr>
          <w:color w:val="000000"/>
          <w:spacing w:val="-1"/>
        </w:rPr>
        <w:t xml:space="preserve">which was secured by additional collateral </w:t>
      </w:r>
      <w:r>
        <w:rPr>
          <w:color w:val="000000"/>
          <w:spacing w:val="-1"/>
        </w:rPr>
        <w:br/>
      </w:r>
      <w:r>
        <w:rPr>
          <w:color w:val="000000"/>
          <w:w w:val="104"/>
        </w:rPr>
        <w:t xml:space="preserve">and payable on demand. Soon after it was </w:t>
      </w:r>
      <w:r>
        <w:rPr>
          <w:color w:val="000000"/>
          <w:w w:val="104"/>
        </w:rPr>
        <w:br/>
      </w:r>
      <w:r>
        <w:rPr>
          <w:color w:val="000000"/>
        </w:rPr>
        <w:t>signed, the bank seized the encumbered prop-</w:t>
      </w:r>
      <w:r>
        <w:rPr>
          <w:color w:val="000000"/>
        </w:rPr>
        <w:br/>
      </w:r>
      <w:r>
        <w:rPr>
          <w:color w:val="000000"/>
          <w:spacing w:val="-3"/>
        </w:rPr>
        <w:t xml:space="preserve">erty and sued to enforce the note. In defense, the </w:t>
      </w:r>
      <w:r>
        <w:rPr>
          <w:color w:val="000000"/>
          <w:spacing w:val="-3"/>
        </w:rPr>
        <w:br/>
      </w:r>
      <w:r>
        <w:rPr>
          <w:color w:val="000000"/>
        </w:rPr>
        <w:t xml:space="preserve">borrowers claimed the bank had promised not </w:t>
      </w:r>
      <w:r>
        <w:rPr>
          <w:color w:val="000000"/>
        </w:rPr>
        <w:br/>
      </w:r>
      <w:r>
        <w:rPr>
          <w:color w:val="000000"/>
          <w:spacing w:val="-2"/>
        </w:rPr>
        <w:t xml:space="preserve">to interfere with their farming operations for the </w:t>
      </w:r>
      <w:r>
        <w:rPr>
          <w:color w:val="000000"/>
          <w:spacing w:val="-2"/>
        </w:rPr>
        <w:br/>
      </w:r>
      <w:r>
        <w:rPr>
          <w:color w:val="000000"/>
          <w:w w:val="101"/>
        </w:rPr>
        <w:t>remainder of the year, and to take the pro-</w:t>
      </w:r>
      <w:r>
        <w:rPr>
          <w:color w:val="000000"/>
          <w:w w:val="101"/>
        </w:rPr>
        <w:br/>
      </w:r>
      <w:r>
        <w:rPr>
          <w:color w:val="000000"/>
        </w:rPr>
        <w:t>ceeds of those operations in payment. They al-</w:t>
      </w:r>
      <w:r>
        <w:rPr>
          <w:color w:val="000000"/>
        </w:rPr>
        <w:br/>
      </w:r>
      <w:r>
        <w:rPr>
          <w:color w:val="000000"/>
          <w:w w:val="101"/>
        </w:rPr>
        <w:t>leged that the bank had no intention of per-</w:t>
      </w:r>
      <w:r>
        <w:rPr>
          <w:color w:val="000000"/>
          <w:w w:val="101"/>
        </w:rPr>
        <w:br/>
      </w:r>
      <w:r>
        <w:rPr>
          <w:color w:val="000000"/>
        </w:rPr>
        <w:t>forming these promises,</w:t>
      </w:r>
      <w:r>
        <w:rPr>
          <w:color w:val="000000"/>
        </w:rPr>
        <w:t xml:space="preserve"> but made them for the </w:t>
      </w:r>
      <w:r>
        <w:rPr>
          <w:color w:val="000000"/>
        </w:rPr>
        <w:br/>
      </w:r>
      <w:r>
        <w:rPr>
          <w:color w:val="000000"/>
          <w:spacing w:val="-1"/>
        </w:rPr>
        <w:t xml:space="preserve">fraudulent purpose of </w:t>
      </w:r>
      <w:r>
        <w:rPr>
          <w:rFonts w:ascii="Times New Roman Bold" w:hAnsi="Times New Roman Bold"/>
          <w:color w:val="000000"/>
          <w:spacing w:val="-1"/>
        </w:rPr>
        <w:t>[**10]</w:t>
      </w:r>
      <w:r>
        <w:rPr>
          <w:color w:val="000000"/>
          <w:spacing w:val="-1"/>
        </w:rPr>
        <w:t xml:space="preserve"> obtaining the </w:t>
      </w:r>
      <w:r>
        <w:rPr>
          <w:color w:val="000000"/>
          <w:spacing w:val="-1"/>
        </w:rPr>
        <w:br/>
      </w:r>
      <w:r>
        <w:rPr>
          <w:color w:val="000000"/>
          <w:w w:val="101"/>
        </w:rPr>
        <w:t>new note and additional collateral. (</w:t>
      </w:r>
      <w:r>
        <w:rPr>
          <w:rFonts w:ascii="Times New Roman Italic" w:hAnsi="Times New Roman Italic"/>
          <w:color w:val="0000FF"/>
          <w:w w:val="101"/>
          <w:u w:val="single"/>
        </w:rPr>
        <w:t xml:space="preserve"> Pender-</w:t>
      </w:r>
      <w:r>
        <w:rPr>
          <w:rFonts w:ascii="Times New Roman Italic" w:hAnsi="Times New Roman Italic"/>
          <w:color w:val="0000FF"/>
          <w:w w:val="101"/>
          <w:u w:val="single"/>
        </w:rPr>
        <w:br/>
        <w:t>grass, supra</w:t>
      </w:r>
      <w:r>
        <w:rPr>
          <w:color w:val="0000FF"/>
          <w:w w:val="101"/>
          <w:u w:val="single"/>
        </w:rPr>
        <w:t xml:space="preserve"> , 4 Cal.2d at pp. 259-262</w:t>
      </w:r>
      <w:r>
        <w:rPr>
          <w:color w:val="000000"/>
          <w:w w:val="101"/>
        </w:rPr>
        <w:t>.)</w:t>
      </w:r>
    </w:p>
    <w:p w:rsidR="00491B30" w:rsidRDefault="00BA5DC6">
      <w:pPr>
        <w:spacing w:before="200" w:line="259" w:lineRule="exact"/>
        <w:ind w:left="20" w:right="639"/>
        <w:jc w:val="both"/>
        <w:rPr>
          <w:color w:val="000000"/>
          <w:spacing w:val="-1"/>
        </w:rPr>
      </w:pPr>
      <w:r>
        <w:rPr>
          <w:color w:val="000000"/>
          <w:spacing w:val="-1"/>
        </w:rPr>
        <w:t>The</w:t>
      </w:r>
      <w:r>
        <w:rPr>
          <w:rFonts w:ascii="Times New Roman Italic" w:hAnsi="Times New Roman Italic"/>
          <w:color w:val="000000"/>
          <w:spacing w:val="-1"/>
        </w:rPr>
        <w:t xml:space="preserve"> Pendergrass</w:t>
      </w:r>
      <w:r>
        <w:rPr>
          <w:color w:val="000000"/>
          <w:spacing w:val="-1"/>
        </w:rPr>
        <w:t xml:space="preserve"> court concluded that further </w:t>
      </w:r>
      <w:r>
        <w:rPr>
          <w:color w:val="000000"/>
          <w:spacing w:val="-2"/>
        </w:rPr>
        <w:t xml:space="preserve">proceedings were required to determine whether </w:t>
      </w:r>
      <w:r>
        <w:rPr>
          <w:color w:val="000000"/>
          <w:w w:val="101"/>
        </w:rPr>
        <w:t xml:space="preserve">the </w:t>
      </w:r>
      <w:r>
        <w:rPr>
          <w:color w:val="000000"/>
          <w:w w:val="101"/>
        </w:rPr>
        <w:t>lender had pursued the proper form of ac-</w:t>
      </w:r>
      <w:r>
        <w:rPr>
          <w:color w:val="000000"/>
          <w:w w:val="101"/>
        </w:rPr>
        <w:br/>
        <w:t>tion. (</w:t>
      </w:r>
      <w:r>
        <w:rPr>
          <w:rFonts w:ascii="Times New Roman Italic" w:hAnsi="Times New Roman Italic"/>
          <w:color w:val="0000FF"/>
          <w:w w:val="101"/>
          <w:u w:val="single"/>
        </w:rPr>
        <w:t xml:space="preserve"> Pendergrass, supra</w:t>
      </w:r>
      <w:r>
        <w:rPr>
          <w:color w:val="0000FF"/>
          <w:w w:val="101"/>
          <w:u w:val="single"/>
        </w:rPr>
        <w:t xml:space="preserve"> , 4 Cal.2d at pp. 262-</w:t>
      </w:r>
      <w:r>
        <w:rPr>
          <w:color w:val="0000FF"/>
          <w:w w:val="101"/>
          <w:u w:val="single"/>
        </w:rPr>
        <w:br/>
      </w:r>
      <w:r>
        <w:rPr>
          <w:color w:val="0000FF"/>
          <w:spacing w:val="-1"/>
          <w:u w:val="single"/>
        </w:rPr>
        <w:t>263</w:t>
      </w:r>
      <w:r>
        <w:rPr>
          <w:color w:val="000000"/>
          <w:spacing w:val="-1"/>
        </w:rPr>
        <w:t>.) However, the court also considered</w:t>
      </w:r>
    </w:p>
    <w:p w:rsidR="00491B30" w:rsidRDefault="00BA5DC6">
      <w:pPr>
        <w:spacing w:before="1" w:line="259" w:lineRule="exact"/>
        <w:ind w:left="20" w:right="639"/>
        <w:rPr>
          <w:color w:val="000000"/>
          <w:spacing w:val="-1"/>
        </w:rPr>
      </w:pPr>
      <w:r>
        <w:rPr>
          <w:color w:val="000000"/>
        </w:rPr>
        <w:t xml:space="preserve">whether oral testimony would be admissible to </w:t>
      </w:r>
      <w:r>
        <w:rPr>
          <w:color w:val="000000"/>
        </w:rPr>
        <w:br/>
        <w:t xml:space="preserve">establish the lender’s alleged promise not to </w:t>
      </w:r>
      <w:r>
        <w:rPr>
          <w:color w:val="000000"/>
        </w:rPr>
        <w:br/>
        <w:t>require payment until the bor</w:t>
      </w:r>
      <w:r>
        <w:rPr>
          <w:color w:val="000000"/>
        </w:rPr>
        <w:t xml:space="preserve">rowers sold their </w:t>
      </w:r>
      <w:r>
        <w:rPr>
          <w:color w:val="000000"/>
        </w:rPr>
        <w:br/>
      </w:r>
      <w:r>
        <w:rPr>
          <w:color w:val="000000"/>
          <w:spacing w:val="-4"/>
        </w:rPr>
        <w:t xml:space="preserve">crops. “This promise is in direct contravention of </w:t>
      </w:r>
      <w:r>
        <w:rPr>
          <w:color w:val="000000"/>
          <w:spacing w:val="-4"/>
        </w:rPr>
        <w:br/>
      </w:r>
      <w:r>
        <w:rPr>
          <w:color w:val="000000"/>
          <w:spacing w:val="-1"/>
        </w:rPr>
        <w:t>the unconditional promise contained in the</w:t>
      </w:r>
    </w:p>
    <w:p w:rsidR="00491B30" w:rsidRDefault="00BA5DC6">
      <w:pPr>
        <w:spacing w:before="1" w:line="259" w:lineRule="exact"/>
        <w:ind w:left="20"/>
        <w:rPr>
          <w:color w:val="000000"/>
          <w:w w:val="101"/>
        </w:rPr>
      </w:pPr>
      <w:r>
        <w:rPr>
          <w:color w:val="000000"/>
          <w:w w:val="101"/>
        </w:rPr>
        <w:t>note to pay the money on demand. The ques-</w:t>
      </w:r>
    </w:p>
    <w:p w:rsidR="00491B30" w:rsidRDefault="00491B30">
      <w:pPr>
        <w:rPr>
          <w:color w:val="000000"/>
          <w:w w:val="101"/>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07" w:lineRule="exact"/>
        <w:ind w:left="898"/>
        <w:rPr>
          <w:color w:val="000000"/>
          <w:w w:val="101"/>
        </w:rPr>
      </w:pPr>
    </w:p>
    <w:p w:rsidR="00491B30" w:rsidRDefault="00BA5DC6">
      <w:pPr>
        <w:spacing w:before="149" w:line="207" w:lineRule="exact"/>
        <w:ind w:left="898"/>
        <w:rPr>
          <w:color w:val="000000"/>
          <w:spacing w:val="-2"/>
          <w:sz w:val="18"/>
        </w:rPr>
      </w:pPr>
      <w:r>
        <w:rPr>
          <w:color w:val="000000"/>
          <w:spacing w:val="-2"/>
          <w:sz w:val="18"/>
        </w:rPr>
        <w:t>ment.”</w:t>
      </w:r>
    </w:p>
    <w:p w:rsidR="00491B30" w:rsidRDefault="00491B30">
      <w:pPr>
        <w:rPr>
          <w:color w:val="000000"/>
          <w:spacing w:val="-2"/>
          <w:sz w:val="18"/>
        </w:rPr>
        <w:sectPr w:rsidR="00491B30">
          <w:type w:val="continuous"/>
          <w:pgSz w:w="12220" w:h="15820"/>
          <w:pgMar w:top="431" w:right="431" w:bottom="431" w:left="431" w:header="720" w:footer="720" w:gutter="0"/>
          <w:cols w:space="720"/>
        </w:sectPr>
      </w:pPr>
    </w:p>
    <w:p w:rsidR="00491B30" w:rsidRDefault="00BA5DC6">
      <w:pPr>
        <w:spacing w:before="101" w:line="138" w:lineRule="exact"/>
        <w:ind w:left="898"/>
        <w:rPr>
          <w:color w:val="000000"/>
          <w:spacing w:val="-1"/>
          <w:sz w:val="12"/>
        </w:rPr>
      </w:pPr>
      <w:r>
        <w:rPr>
          <w:color w:val="000000"/>
          <w:spacing w:val="-1"/>
          <w:sz w:val="12"/>
        </w:rPr>
        <w:lastRenderedPageBreak/>
        <w:t>5</w:t>
      </w:r>
    </w:p>
    <w:p w:rsidR="00491B30" w:rsidRDefault="00BA5DC6">
      <w:pPr>
        <w:spacing w:line="144" w:lineRule="exact"/>
        <w:ind w:left="898"/>
        <w:rPr>
          <w:color w:val="000000"/>
          <w:spacing w:val="-1"/>
          <w:sz w:val="12"/>
        </w:rPr>
      </w:pPr>
      <w:r>
        <w:rPr>
          <w:color w:val="000000"/>
          <w:spacing w:val="-1"/>
          <w:sz w:val="12"/>
        </w:rPr>
        <w:br w:type="column"/>
      </w:r>
    </w:p>
    <w:p w:rsidR="00491B30" w:rsidRDefault="00BA5DC6">
      <w:pPr>
        <w:spacing w:before="28" w:line="144" w:lineRule="exact"/>
        <w:ind w:left="20"/>
        <w:rPr>
          <w:color w:val="000000"/>
          <w:spacing w:val="-1"/>
          <w:sz w:val="18"/>
        </w:rPr>
      </w:pPr>
      <w:r>
        <w:rPr>
          <w:color w:val="000000"/>
          <w:spacing w:val="-1"/>
          <w:sz w:val="18"/>
        </w:rPr>
        <w:t>The version of</w:t>
      </w:r>
      <w:r>
        <w:rPr>
          <w:color w:val="0000FF"/>
          <w:spacing w:val="-1"/>
          <w:sz w:val="18"/>
        </w:rPr>
        <w:t xml:space="preserve"> </w:t>
      </w:r>
      <w:r>
        <w:rPr>
          <w:color w:val="0000FF"/>
          <w:spacing w:val="-1"/>
          <w:sz w:val="18"/>
          <w:u w:val="single"/>
        </w:rPr>
        <w:t xml:space="preserve"> section 1856</w:t>
      </w:r>
      <w:r>
        <w:rPr>
          <w:color w:val="000000"/>
          <w:spacing w:val="-1"/>
          <w:sz w:val="18"/>
        </w:rPr>
        <w:t xml:space="preserve"> in effect at the time of</w:t>
      </w:r>
      <w:r>
        <w:rPr>
          <w:rFonts w:ascii="Times New Roman Italic" w:hAnsi="Times New Roman Italic"/>
          <w:color w:val="000000"/>
          <w:spacing w:val="-1"/>
          <w:sz w:val="18"/>
        </w:rPr>
        <w:t xml:space="preserve"> Pendergrass</w:t>
      </w:r>
      <w:r>
        <w:rPr>
          <w:color w:val="000000"/>
          <w:spacing w:val="-1"/>
          <w:sz w:val="18"/>
        </w:rPr>
        <w:t xml:space="preserve"> was enacted in 1872. That statutory formulation of the parol evi-</w:t>
      </w:r>
    </w:p>
    <w:p w:rsidR="00491B30" w:rsidRDefault="00491B30">
      <w:pPr>
        <w:rPr>
          <w:color w:val="000000"/>
          <w:spacing w:val="-1"/>
          <w:sz w:val="18"/>
        </w:rPr>
        <w:sectPr w:rsidR="00491B30">
          <w:type w:val="continuous"/>
          <w:pgSz w:w="12220" w:h="15820"/>
          <w:pgMar w:top="431" w:right="431" w:bottom="431" w:left="431" w:header="720" w:footer="720" w:gutter="0"/>
          <w:cols w:num="2" w:space="720" w:equalWidth="0">
            <w:col w:w="1038" w:space="110"/>
            <w:col w:w="10068" w:space="160"/>
          </w:cols>
        </w:sectPr>
      </w:pPr>
    </w:p>
    <w:p w:rsidR="00491B30" w:rsidRDefault="00BA5DC6">
      <w:pPr>
        <w:spacing w:before="4" w:line="200" w:lineRule="exact"/>
        <w:ind w:left="898" w:right="849"/>
        <w:jc w:val="both"/>
        <w:rPr>
          <w:color w:val="000000"/>
          <w:sz w:val="18"/>
        </w:rPr>
      </w:pPr>
      <w:r>
        <w:rPr>
          <w:color w:val="000000"/>
          <w:sz w:val="18"/>
        </w:rPr>
        <w:lastRenderedPageBreak/>
        <w:t>dence rule included the terms now found in</w:t>
      </w:r>
      <w:r>
        <w:rPr>
          <w:color w:val="0000FF"/>
          <w:sz w:val="18"/>
        </w:rPr>
        <w:t xml:space="preserve"> </w:t>
      </w:r>
      <w:r>
        <w:rPr>
          <w:color w:val="0000FF"/>
          <w:sz w:val="18"/>
          <w:u w:val="single"/>
        </w:rPr>
        <w:t xml:space="preserve"> section 1856, subdivisions (f)</w:t>
      </w:r>
      <w:r>
        <w:rPr>
          <w:color w:val="000000"/>
          <w:sz w:val="18"/>
        </w:rPr>
        <w:t xml:space="preserve"> and</w:t>
      </w:r>
      <w:r>
        <w:rPr>
          <w:color w:val="0000FF"/>
          <w:sz w:val="18"/>
        </w:rPr>
        <w:t xml:space="preserve"> </w:t>
      </w:r>
      <w:r>
        <w:rPr>
          <w:color w:val="0000FF"/>
          <w:sz w:val="18"/>
          <w:u w:val="single"/>
        </w:rPr>
        <w:t xml:space="preserve"> (g)</w:t>
      </w:r>
      <w:r>
        <w:rPr>
          <w:color w:val="000000"/>
          <w:sz w:val="18"/>
        </w:rPr>
        <w:t xml:space="preserve">. (See Recommendation Relating to Parol </w:t>
      </w:r>
      <w:r>
        <w:rPr>
          <w:color w:val="000000"/>
          <w:sz w:val="18"/>
        </w:rPr>
        <w:t xml:space="preserve">Evidence Rule (Nov. 1977) 14 Cal. Law Revision Com. Rep. (1978) p. 147.) </w:t>
      </w:r>
    </w:p>
    <w:p w:rsidR="00491B30" w:rsidRDefault="00491B30">
      <w:pPr>
        <w:spacing w:line="230" w:lineRule="exact"/>
        <w:ind w:left="5183"/>
        <w:rPr>
          <w:color w:val="000000"/>
          <w:sz w:val="18"/>
        </w:rPr>
      </w:pPr>
    </w:p>
    <w:p w:rsidR="00491B30" w:rsidRDefault="00BA5DC6">
      <w:pPr>
        <w:spacing w:before="66" w:line="230" w:lineRule="exact"/>
        <w:ind w:left="5183"/>
        <w:rPr>
          <w:color w:val="000000"/>
          <w:spacing w:val="-1"/>
          <w:sz w:val="20"/>
        </w:rPr>
      </w:pPr>
      <w:r>
        <w:rPr>
          <w:color w:val="000000"/>
          <w:spacing w:val="-1"/>
          <w:sz w:val="20"/>
        </w:rPr>
        <w:t xml:space="preserve">Charles Cox </w:t>
      </w:r>
      <w:r>
        <w:rPr>
          <w:color w:val="000000"/>
          <w:spacing w:val="-1"/>
          <w:sz w:val="20"/>
        </w:rPr>
        <w:pict>
          <v:line id="_x0000_s1100" style="position:absolute;left:0;text-align:left;z-index:-251577344;mso-position-horizontal-relative:page;mso-position-vertical-relative:page" from="66.5pt,671.9pt" to="545.45pt,671.9pt" o:allowincell="f" strokeweight="1.5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33"/>
        <w:rPr>
          <w:color w:val="000000"/>
          <w:sz w:val="20"/>
        </w:rPr>
      </w:pPr>
      <w:bookmarkStart w:id="8" w:name="Pg9"/>
      <w:bookmarkEnd w:id="8"/>
      <w:r>
        <w:rPr>
          <w:color w:val="000000"/>
          <w:sz w:val="20"/>
        </w:rPr>
        <w:lastRenderedPageBreak/>
        <w:t>55 Cal. 4th 1169, *1175; 2013 Cal. LEXIS 253, **10</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59" w:lineRule="exact"/>
        <w:ind w:left="898"/>
        <w:rPr>
          <w:color w:val="000000"/>
          <w:sz w:val="20"/>
        </w:rPr>
      </w:pPr>
    </w:p>
    <w:p w:rsidR="00491B30" w:rsidRDefault="00491B30">
      <w:pPr>
        <w:spacing w:line="259" w:lineRule="exact"/>
        <w:ind w:left="898"/>
        <w:rPr>
          <w:color w:val="000000"/>
          <w:sz w:val="20"/>
        </w:rPr>
      </w:pPr>
    </w:p>
    <w:p w:rsidR="00491B30" w:rsidRDefault="00BA5DC6">
      <w:pPr>
        <w:spacing w:before="22" w:line="259" w:lineRule="exact"/>
        <w:ind w:left="898"/>
        <w:rPr>
          <w:color w:val="000000"/>
          <w:w w:val="101"/>
        </w:rPr>
      </w:pPr>
      <w:r>
        <w:rPr>
          <w:color w:val="000000"/>
          <w:spacing w:val="-1"/>
        </w:rPr>
        <w:t>tion then is: Is such a promise the subject of pa-</w:t>
      </w:r>
      <w:r>
        <w:rPr>
          <w:color w:val="000000"/>
          <w:spacing w:val="-1"/>
        </w:rPr>
        <w:br/>
      </w:r>
      <w:r>
        <w:rPr>
          <w:color w:val="000000"/>
        </w:rPr>
        <w:t xml:space="preserve">rol proof for the purpose of establishing fraud </w:t>
      </w:r>
      <w:r>
        <w:rPr>
          <w:color w:val="000000"/>
        </w:rPr>
        <w:br/>
      </w:r>
      <w:r>
        <w:rPr>
          <w:color w:val="000000"/>
          <w:w w:val="102"/>
        </w:rPr>
        <w:t>as a defense to the action or by way of cancel-</w:t>
      </w:r>
      <w:r>
        <w:rPr>
          <w:color w:val="000000"/>
          <w:w w:val="102"/>
        </w:rPr>
        <w:br/>
      </w:r>
      <w:r>
        <w:rPr>
          <w:color w:val="000000"/>
          <w:w w:val="101"/>
        </w:rPr>
        <w:t xml:space="preserve">ling the note, assuming, of course, that it can </w:t>
      </w:r>
      <w:r>
        <w:rPr>
          <w:color w:val="000000"/>
          <w:w w:val="101"/>
        </w:rPr>
        <w:br/>
      </w:r>
      <w:r>
        <w:rPr>
          <w:color w:val="000000"/>
          <w:spacing w:val="-2"/>
        </w:rPr>
        <w:t xml:space="preserve">be properly coupled with proof that it was made </w:t>
      </w:r>
      <w:r>
        <w:rPr>
          <w:color w:val="000000"/>
          <w:spacing w:val="-2"/>
        </w:rPr>
        <w:br/>
      </w:r>
      <w:r>
        <w:rPr>
          <w:color w:val="000000"/>
        </w:rPr>
        <w:t>without any intention of performing it?” (</w:t>
      </w:r>
      <w:r>
        <w:rPr>
          <w:rFonts w:ascii="Times New Roman Italic" w:hAnsi="Times New Roman Italic"/>
          <w:color w:val="0000FF"/>
          <w:u w:val="single"/>
        </w:rPr>
        <w:t xml:space="preserve"> Id. </w:t>
      </w:r>
      <w:r>
        <w:rPr>
          <w:rFonts w:ascii="Times New Roman Italic" w:hAnsi="Times New Roman Italic"/>
          <w:color w:val="0000FF"/>
          <w:u w:val="single"/>
        </w:rPr>
        <w:br/>
      </w:r>
      <w:r>
        <w:rPr>
          <w:color w:val="0000FF"/>
          <w:w w:val="101"/>
          <w:u w:val="single"/>
        </w:rPr>
        <w:t xml:space="preserve"> at p. 263</w:t>
      </w:r>
      <w:r>
        <w:rPr>
          <w:color w:val="000000"/>
          <w:w w:val="101"/>
        </w:rPr>
        <w:t>.)</w:t>
      </w:r>
    </w:p>
    <w:p w:rsidR="00491B30" w:rsidRDefault="00BA5DC6">
      <w:pPr>
        <w:spacing w:before="200" w:line="259" w:lineRule="exact"/>
        <w:ind w:left="898"/>
        <w:rPr>
          <w:rFonts w:ascii="Times New Roman Italic" w:hAnsi="Times New Roman Italic"/>
          <w:color w:val="0000FF"/>
          <w:spacing w:val="-1"/>
          <w:u w:val="single"/>
        </w:rPr>
      </w:pPr>
      <w:r>
        <w:rPr>
          <w:color w:val="000000"/>
          <w:spacing w:val="-3"/>
        </w:rPr>
        <w:t xml:space="preserve">“Our  </w:t>
      </w:r>
      <w:r>
        <w:rPr>
          <w:rFonts w:ascii="Times New Roman Bold" w:hAnsi="Times New Roman Bold"/>
          <w:color w:val="000000"/>
        </w:rPr>
        <w:t>[**11]</w:t>
      </w:r>
      <w:r>
        <w:rPr>
          <w:color w:val="000000"/>
        </w:rPr>
        <w:t xml:space="preserve"> conception of the rule which per-</w:t>
      </w:r>
      <w:r>
        <w:rPr>
          <w:color w:val="000000"/>
        </w:rPr>
        <w:br/>
      </w:r>
      <w:r>
        <w:rPr>
          <w:color w:val="000000"/>
          <w:spacing w:val="-3"/>
        </w:rPr>
        <w:t>mits parol evidence of fraud to establish the in-</w:t>
      </w:r>
      <w:r>
        <w:rPr>
          <w:color w:val="000000"/>
          <w:spacing w:val="-3"/>
        </w:rPr>
        <w:br/>
      </w:r>
      <w:r>
        <w:rPr>
          <w:color w:val="000000"/>
          <w:w w:val="101"/>
        </w:rPr>
        <w:t xml:space="preserve">validity of the instrument is that it must tend to </w:t>
      </w:r>
      <w:r>
        <w:rPr>
          <w:color w:val="000000"/>
          <w:w w:val="101"/>
        </w:rPr>
        <w:br/>
      </w:r>
      <w:r>
        <w:rPr>
          <w:color w:val="000000"/>
          <w:spacing w:val="-1"/>
        </w:rPr>
        <w:t>establish some independent fact or representa-</w:t>
      </w:r>
      <w:r>
        <w:rPr>
          <w:color w:val="000000"/>
          <w:spacing w:val="-1"/>
        </w:rPr>
        <w:br/>
      </w:r>
      <w:r>
        <w:rPr>
          <w:color w:val="000000"/>
          <w:w w:val="104"/>
        </w:rPr>
        <w:t>tion, some fraud in the procurement of the in-</w:t>
      </w:r>
      <w:r>
        <w:rPr>
          <w:color w:val="000000"/>
          <w:w w:val="104"/>
        </w:rPr>
        <w:br/>
      </w:r>
      <w:r>
        <w:rPr>
          <w:color w:val="000000"/>
        </w:rPr>
        <w:t xml:space="preserve">strument or </w:t>
      </w:r>
      <w:r>
        <w:rPr>
          <w:color w:val="000000"/>
        </w:rPr>
        <w:t>some breach of confidence con-</w:t>
      </w:r>
      <w:r>
        <w:rPr>
          <w:color w:val="000000"/>
        </w:rPr>
        <w:br/>
      </w:r>
      <w:r>
        <w:rPr>
          <w:color w:val="000000"/>
          <w:w w:val="102"/>
        </w:rPr>
        <w:t xml:space="preserve">cerning its use, and not a promise directly at </w:t>
      </w:r>
      <w:r>
        <w:rPr>
          <w:color w:val="000000"/>
          <w:w w:val="102"/>
        </w:rPr>
        <w:br/>
      </w:r>
      <w:r>
        <w:rPr>
          <w:color w:val="000000"/>
          <w:spacing w:val="-5"/>
        </w:rPr>
        <w:t xml:space="preserve">variance with the promise of the writing. We find </w:t>
      </w:r>
      <w:r>
        <w:rPr>
          <w:color w:val="000000"/>
          <w:spacing w:val="-5"/>
        </w:rPr>
        <w:br/>
      </w:r>
      <w:r>
        <w:rPr>
          <w:color w:val="000000"/>
          <w:spacing w:val="-3"/>
        </w:rPr>
        <w:t xml:space="preserve">apt </w:t>
      </w:r>
      <w:r>
        <w:rPr>
          <w:rFonts w:ascii="Times New Roman Bold" w:hAnsi="Times New Roman Bold"/>
          <w:color w:val="000000"/>
          <w:spacing w:val="-1"/>
        </w:rPr>
        <w:t>[*1176]</w:t>
      </w:r>
      <w:r>
        <w:rPr>
          <w:color w:val="000000"/>
          <w:spacing w:val="-1"/>
        </w:rPr>
        <w:t xml:space="preserve">  language in</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Towner</w:t>
      </w:r>
      <w:r>
        <w:rPr>
          <w:color w:val="0000FF"/>
          <w:spacing w:val="-1"/>
          <w:u w:val="single"/>
        </w:rPr>
        <w:t xml:space="preserve">  v.</w:t>
      </w:r>
      <w:r>
        <w:rPr>
          <w:rFonts w:ascii="Times New Roman Italic" w:hAnsi="Times New Roman Italic"/>
          <w:color w:val="0000FF"/>
          <w:spacing w:val="-1"/>
          <w:u w:val="single"/>
        </w:rPr>
        <w:t xml:space="preserve">  Lucas’</w:t>
      </w:r>
    </w:p>
    <w:p w:rsidR="00491B30" w:rsidRDefault="00BA5DC6">
      <w:pPr>
        <w:spacing w:before="1" w:line="259" w:lineRule="exact"/>
        <w:ind w:left="898" w:right="6"/>
        <w:jc w:val="both"/>
        <w:rPr>
          <w:color w:val="000000"/>
          <w:w w:val="101"/>
        </w:rPr>
      </w:pPr>
      <w:r>
        <w:rPr>
          <w:rFonts w:ascii="Times New Roman Italic" w:hAnsi="Times New Roman Italic"/>
          <w:color w:val="0000FF"/>
          <w:u w:val="single"/>
        </w:rPr>
        <w:t>Exr.</w:t>
      </w:r>
      <w:r>
        <w:rPr>
          <w:color w:val="0000FF"/>
          <w:u w:val="single"/>
        </w:rPr>
        <w:t xml:space="preserve">  [(1857)] 54 Va. (13 Gratt.) 705, 716</w:t>
      </w:r>
      <w:r>
        <w:rPr>
          <w:color w:val="000000"/>
        </w:rPr>
        <w:t xml:space="preserve">, in </w:t>
      </w:r>
      <w:r>
        <w:rPr>
          <w:color w:val="000000"/>
        </w:rPr>
        <w:br/>
        <w:t xml:space="preserve">which to express our conviction: </w:t>
      </w:r>
      <w:r>
        <w:rPr>
          <w:color w:val="000000"/>
        </w:rPr>
        <w:t>‘It is reason-</w:t>
      </w:r>
      <w:r>
        <w:rPr>
          <w:color w:val="000000"/>
        </w:rPr>
        <w:br/>
      </w:r>
      <w:r>
        <w:rPr>
          <w:color w:val="000000"/>
          <w:w w:val="102"/>
        </w:rPr>
        <w:t xml:space="preserve">ing in a circle, to argue that fraud is made out, </w:t>
      </w:r>
      <w:r>
        <w:rPr>
          <w:color w:val="000000"/>
          <w:w w:val="102"/>
        </w:rPr>
        <w:br/>
      </w:r>
      <w:r>
        <w:rPr>
          <w:color w:val="000000"/>
          <w:w w:val="101"/>
        </w:rPr>
        <w:t>when it is shown by oral testimony that the</w:t>
      </w:r>
    </w:p>
    <w:p w:rsidR="00491B30" w:rsidRDefault="00BA5DC6">
      <w:pPr>
        <w:spacing w:before="1" w:line="259" w:lineRule="exact"/>
        <w:ind w:left="898"/>
        <w:rPr>
          <w:color w:val="000000"/>
        </w:rPr>
      </w:pPr>
      <w:r>
        <w:rPr>
          <w:color w:val="000000"/>
          <w:spacing w:val="-1"/>
        </w:rPr>
        <w:t xml:space="preserve">obligee contemporaneously with the execution </w:t>
      </w:r>
      <w:r>
        <w:rPr>
          <w:color w:val="000000"/>
          <w:spacing w:val="-1"/>
        </w:rPr>
        <w:br/>
      </w:r>
      <w:r>
        <w:rPr>
          <w:color w:val="000000"/>
          <w:w w:val="106"/>
        </w:rPr>
        <w:t xml:space="preserve">of a bond, promised not to enforce it. Such a </w:t>
      </w:r>
      <w:r>
        <w:rPr>
          <w:color w:val="000000"/>
          <w:w w:val="106"/>
        </w:rPr>
        <w:br/>
      </w:r>
      <w:r>
        <w:rPr>
          <w:color w:val="000000"/>
        </w:rPr>
        <w:t>principle would nullify the rule: for conced-</w:t>
      </w:r>
      <w:r>
        <w:rPr>
          <w:color w:val="000000"/>
        </w:rPr>
        <w:br/>
      </w:r>
      <w:r>
        <w:rPr>
          <w:color w:val="000000"/>
          <w:w w:val="102"/>
        </w:rPr>
        <w:t>ing tha</w:t>
      </w:r>
      <w:r>
        <w:rPr>
          <w:color w:val="000000"/>
          <w:w w:val="102"/>
        </w:rPr>
        <w:t xml:space="preserve">t such an agreement is proved, or any </w:t>
      </w:r>
      <w:r>
        <w:rPr>
          <w:color w:val="000000"/>
          <w:w w:val="102"/>
        </w:rPr>
        <w:br/>
      </w:r>
      <w:r>
        <w:rPr>
          <w:color w:val="000000"/>
          <w:w w:val="101"/>
        </w:rPr>
        <w:t xml:space="preserve">other contradicting the written instrument, the </w:t>
      </w:r>
      <w:r>
        <w:rPr>
          <w:color w:val="000000"/>
          <w:w w:val="101"/>
        </w:rPr>
        <w:br/>
      </w:r>
      <w:r>
        <w:rPr>
          <w:color w:val="000000"/>
        </w:rPr>
        <w:t>party seeking to enforce the written agree-</w:t>
      </w:r>
    </w:p>
    <w:p w:rsidR="00491B30" w:rsidRDefault="00BA5DC6">
      <w:pPr>
        <w:spacing w:line="259" w:lineRule="exact"/>
        <w:ind w:left="898"/>
        <w:rPr>
          <w:color w:val="000000"/>
          <w:spacing w:val="-3"/>
        </w:rPr>
      </w:pPr>
      <w:r>
        <w:rPr>
          <w:color w:val="000000"/>
        </w:rPr>
        <w:t xml:space="preserve">ment according to its terms, would always be </w:t>
      </w:r>
      <w:r>
        <w:rPr>
          <w:color w:val="000000"/>
        </w:rPr>
        <w:br/>
        <w:t xml:space="preserve">guilty of fraud. The true question is, Was there </w:t>
      </w:r>
      <w:r>
        <w:rPr>
          <w:color w:val="000000"/>
        </w:rPr>
        <w:br/>
      </w:r>
      <w:r>
        <w:rPr>
          <w:color w:val="000000"/>
          <w:spacing w:val="-1"/>
        </w:rPr>
        <w:t>any such agreement? And this</w:t>
      </w:r>
      <w:r>
        <w:rPr>
          <w:color w:val="000000"/>
          <w:spacing w:val="-1"/>
        </w:rPr>
        <w:t xml:space="preserve"> can only be es-</w:t>
      </w:r>
      <w:r>
        <w:rPr>
          <w:color w:val="000000"/>
          <w:spacing w:val="-1"/>
        </w:rPr>
        <w:br/>
      </w:r>
      <w:r>
        <w:rPr>
          <w:color w:val="000000"/>
          <w:w w:val="101"/>
        </w:rPr>
        <w:t xml:space="preserve">tablished by legitimate testimony. For reasons </w:t>
      </w:r>
      <w:r>
        <w:rPr>
          <w:color w:val="000000"/>
          <w:w w:val="101"/>
        </w:rPr>
        <w:br/>
      </w:r>
      <w:r>
        <w:rPr>
          <w:color w:val="000000"/>
        </w:rPr>
        <w:t xml:space="preserve">founded in wisdom and to prevent frauds and </w:t>
      </w:r>
      <w:r>
        <w:rPr>
          <w:color w:val="000000"/>
        </w:rPr>
        <w:br/>
        <w:t xml:space="preserve">perjuries, the rule of the common law excludes </w:t>
      </w:r>
      <w:r>
        <w:rPr>
          <w:color w:val="000000"/>
        </w:rPr>
        <w:br/>
        <w:t xml:space="preserve">such oral testimony of the alleged agreement; </w:t>
      </w:r>
      <w:r>
        <w:rPr>
          <w:color w:val="000000"/>
        </w:rPr>
        <w:br/>
        <w:t xml:space="preserve">and as it cannot be proved by legal </w:t>
      </w:r>
      <w:r>
        <w:rPr>
          <w:rFonts w:ascii="Times New Roman Bold" w:hAnsi="Times New Roman Bold"/>
          <w:color w:val="000000"/>
          <w:spacing w:val="-2"/>
        </w:rPr>
        <w:t>[**12]</w:t>
      </w:r>
      <w:r>
        <w:rPr>
          <w:color w:val="000000"/>
          <w:spacing w:val="-2"/>
        </w:rPr>
        <w:t xml:space="preserve"> evi-</w:t>
      </w:r>
      <w:r>
        <w:rPr>
          <w:color w:val="000000"/>
          <w:spacing w:val="-2"/>
        </w:rPr>
        <w:br/>
      </w:r>
      <w:r>
        <w:rPr>
          <w:color w:val="000000"/>
          <w:spacing w:val="-1"/>
        </w:rPr>
        <w:t>dence, the agreement itself in legal contempla-</w:t>
      </w:r>
      <w:r>
        <w:rPr>
          <w:color w:val="000000"/>
          <w:spacing w:val="-1"/>
        </w:rPr>
        <w:br/>
      </w:r>
      <w:r>
        <w:rPr>
          <w:color w:val="000000"/>
        </w:rPr>
        <w:t xml:space="preserve">tion, cannot be regarded as existing in fact.’ </w:t>
      </w:r>
      <w:r>
        <w:rPr>
          <w:color w:val="000000"/>
        </w:rPr>
        <w:br/>
      </w:r>
      <w:r>
        <w:rPr>
          <w:color w:val="000000"/>
          <w:w w:val="104"/>
        </w:rPr>
        <w:t>” (</w:t>
      </w:r>
      <w:r>
        <w:rPr>
          <w:rFonts w:ascii="Times New Roman Italic" w:hAnsi="Times New Roman Italic"/>
          <w:color w:val="0000FF"/>
          <w:w w:val="104"/>
          <w:u w:val="single"/>
        </w:rPr>
        <w:t xml:space="preserve"> Pendergrass, supra</w:t>
      </w:r>
      <w:r>
        <w:rPr>
          <w:color w:val="0000FF"/>
          <w:w w:val="104"/>
          <w:u w:val="single"/>
        </w:rPr>
        <w:t xml:space="preserve"> , 4 Cal.2d at pp. 263-</w:t>
      </w:r>
      <w:r>
        <w:rPr>
          <w:color w:val="0000FF"/>
          <w:w w:val="104"/>
          <w:u w:val="single"/>
        </w:rPr>
        <w:br/>
      </w:r>
      <w:r>
        <w:rPr>
          <w:color w:val="0000FF"/>
          <w:spacing w:val="-3"/>
          <w:u w:val="single"/>
        </w:rPr>
        <w:t>264</w:t>
      </w:r>
      <w:r>
        <w:rPr>
          <w:color w:val="000000"/>
          <w:spacing w:val="-3"/>
        </w:rPr>
        <w:t>.)</w:t>
      </w:r>
    </w:p>
    <w:p w:rsidR="00491B30" w:rsidRDefault="00BA5DC6">
      <w:pPr>
        <w:spacing w:before="246" w:line="276" w:lineRule="exact"/>
        <w:ind w:left="898"/>
        <w:rPr>
          <w:color w:val="000000"/>
          <w:spacing w:val="-1"/>
        </w:rPr>
      </w:pPr>
      <w:r>
        <w:rPr>
          <w:color w:val="000000"/>
          <w:spacing w:val="-1"/>
        </w:rPr>
        <w:t>B.</w:t>
      </w:r>
      <w:r>
        <w:rPr>
          <w:rFonts w:ascii="Times New Roman Italic" w:hAnsi="Times New Roman Italic"/>
          <w:color w:val="000000"/>
          <w:spacing w:val="-1"/>
        </w:rPr>
        <w:t xml:space="preserve"> Reactions to</w:t>
      </w:r>
      <w:r>
        <w:rPr>
          <w:color w:val="000000"/>
          <w:spacing w:val="-1"/>
        </w:rPr>
        <w:t xml:space="preserve"> Pendergrass</w:t>
      </w:r>
    </w:p>
    <w:p w:rsidR="00491B30" w:rsidRDefault="00BA5DC6">
      <w:pPr>
        <w:spacing w:before="198" w:line="259" w:lineRule="exact"/>
        <w:ind w:left="898"/>
        <w:jc w:val="both"/>
        <w:rPr>
          <w:color w:val="0000FF"/>
          <w:spacing w:val="-1"/>
          <w:u w:val="single"/>
        </w:rPr>
      </w:pPr>
      <w:r>
        <w:rPr>
          <w:color w:val="000000"/>
          <w:spacing w:val="-1"/>
        </w:rPr>
        <w:t>Despite some criticism,</w:t>
      </w:r>
      <w:r>
        <w:rPr>
          <w:rFonts w:ascii="Times New Roman Italic" w:hAnsi="Times New Roman Italic"/>
          <w:color w:val="000000"/>
          <w:spacing w:val="-1"/>
        </w:rPr>
        <w:t xml:space="preserve"> Pendergrass</w:t>
      </w:r>
      <w:r>
        <w:rPr>
          <w:color w:val="000000"/>
          <w:spacing w:val="-1"/>
        </w:rPr>
        <w:t xml:space="preserve"> has sur-</w:t>
      </w:r>
      <w:r>
        <w:rPr>
          <w:color w:val="000000"/>
          <w:spacing w:val="-1"/>
        </w:rPr>
        <w:br/>
      </w:r>
      <w:r>
        <w:rPr>
          <w:color w:val="000000"/>
          <w:w w:val="101"/>
        </w:rPr>
        <w:t xml:space="preserve">vived for over 75 years and the </w:t>
      </w:r>
      <w:r>
        <w:rPr>
          <w:color w:val="000000"/>
          <w:w w:val="101"/>
        </w:rPr>
        <w:t>Courts of Ap-</w:t>
      </w:r>
      <w:r>
        <w:rPr>
          <w:color w:val="000000"/>
          <w:w w:val="101"/>
        </w:rPr>
        <w:br/>
      </w:r>
      <w:r>
        <w:rPr>
          <w:color w:val="000000"/>
          <w:w w:val="105"/>
        </w:rPr>
        <w:t>peal have followed it, albeit with varying de-</w:t>
      </w:r>
      <w:r>
        <w:rPr>
          <w:color w:val="000000"/>
          <w:w w:val="105"/>
        </w:rPr>
        <w:br/>
      </w:r>
      <w:r>
        <w:rPr>
          <w:color w:val="000000"/>
          <w:spacing w:val="-1"/>
        </w:rPr>
        <w:t>grees of fidelity. (See</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Casa Herrera, supra</w:t>
      </w:r>
      <w:r>
        <w:rPr>
          <w:color w:val="0000FF"/>
          <w:spacing w:val="-1"/>
          <w:u w:val="single"/>
        </w:rPr>
        <w:t xml:space="preserve"> ,</w:t>
      </w:r>
    </w:p>
    <w:p w:rsidR="00491B30" w:rsidRDefault="00BA5DC6">
      <w:pPr>
        <w:spacing w:line="259" w:lineRule="exact"/>
        <w:ind w:left="898"/>
        <w:rPr>
          <w:rFonts w:ascii="Times New Roman Italic" w:hAnsi="Times New Roman Italic"/>
          <w:color w:val="0000FF"/>
          <w:u w:val="single"/>
        </w:rPr>
      </w:pPr>
      <w:r>
        <w:rPr>
          <w:color w:val="0000FF"/>
          <w:u w:val="single"/>
        </w:rPr>
        <w:t>32 Cal.4th at p. 346</w:t>
      </w:r>
      <w:r>
        <w:rPr>
          <w:color w:val="000000"/>
        </w:rPr>
        <w:t>;</w:t>
      </w:r>
      <w:r>
        <w:rPr>
          <w:rFonts w:ascii="Times New Roman Italic" w:hAnsi="Times New Roman Italic"/>
          <w:color w:val="0000FF"/>
        </w:rPr>
        <w:t xml:space="preserve"> </w:t>
      </w:r>
      <w:r>
        <w:rPr>
          <w:rFonts w:ascii="Times New Roman Italic" w:hAnsi="Times New Roman Italic"/>
          <w:color w:val="0000FF"/>
          <w:u w:val="single"/>
        </w:rPr>
        <w:t xml:space="preserve"> Duncan v. The McCaffrey</w:t>
      </w:r>
    </w:p>
    <w:p w:rsidR="00491B30" w:rsidRDefault="00BA5DC6">
      <w:pPr>
        <w:spacing w:line="259" w:lineRule="exact"/>
        <w:ind w:left="5807"/>
        <w:jc w:val="both"/>
        <w:rPr>
          <w:rFonts w:ascii="Times New Roman Italic" w:hAnsi="Times New Roman Italic"/>
          <w:color w:val="0000FF"/>
          <w:u w:val="single"/>
        </w:rPr>
      </w:pPr>
      <w:r>
        <w:rPr>
          <w:rFonts w:ascii="Times New Roman Italic" w:hAnsi="Times New Roman Italic"/>
          <w:color w:val="0000FF"/>
          <w:u w:val="single"/>
        </w:rPr>
        <w:br w:type="column"/>
      </w:r>
    </w:p>
    <w:p w:rsidR="00491B30" w:rsidRDefault="00491B30">
      <w:pPr>
        <w:spacing w:line="259" w:lineRule="exact"/>
        <w:ind w:left="5807"/>
        <w:jc w:val="both"/>
        <w:rPr>
          <w:rFonts w:ascii="Times New Roman Italic" w:hAnsi="Times New Roman Italic"/>
          <w:color w:val="0000FF"/>
          <w:u w:val="single"/>
        </w:rPr>
      </w:pPr>
    </w:p>
    <w:p w:rsidR="00491B30" w:rsidRDefault="00BA5DC6">
      <w:pPr>
        <w:spacing w:before="22" w:line="259" w:lineRule="exact"/>
        <w:ind w:left="20" w:right="732"/>
        <w:jc w:val="both"/>
        <w:rPr>
          <w:color w:val="000000"/>
        </w:rPr>
      </w:pPr>
      <w:r>
        <w:rPr>
          <w:rFonts w:ascii="Times New Roman Italic" w:hAnsi="Times New Roman Italic"/>
          <w:color w:val="0000FF"/>
          <w:u w:val="single"/>
        </w:rPr>
        <w:t>Group, Inc.</w:t>
      </w:r>
      <w:r>
        <w:rPr>
          <w:color w:val="0000FF"/>
          <w:u w:val="single"/>
        </w:rPr>
        <w:t xml:space="preserve">  (2011) 200 Cal.App.4th 346, 369-</w:t>
      </w:r>
      <w:r>
        <w:rPr>
          <w:color w:val="0000FF"/>
          <w:u w:val="single"/>
        </w:rPr>
        <w:br/>
        <w:t>377 [133 Cal. Rptr. 3d 280]</w:t>
      </w:r>
      <w:r>
        <w:rPr>
          <w:color w:val="000000"/>
        </w:rPr>
        <w:t xml:space="preserve"> [reviewing</w:t>
      </w:r>
    </w:p>
    <w:p w:rsidR="00491B30" w:rsidRDefault="00BA5DC6">
      <w:pPr>
        <w:spacing w:line="259" w:lineRule="exact"/>
        <w:ind w:left="20" w:right="640"/>
        <w:jc w:val="both"/>
        <w:rPr>
          <w:rFonts w:ascii="Times New Roman Italic" w:hAnsi="Times New Roman Italic"/>
          <w:color w:val="000000"/>
          <w:spacing w:val="-2"/>
        </w:rPr>
      </w:pPr>
      <w:r>
        <w:rPr>
          <w:color w:val="000000"/>
          <w:spacing w:val="-1"/>
        </w:rPr>
        <w:t>cases];</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Price v. Wells Fargo Bank</w:t>
      </w:r>
      <w:r>
        <w:rPr>
          <w:color w:val="0000FF"/>
          <w:spacing w:val="-1"/>
          <w:u w:val="single"/>
        </w:rPr>
        <w:t xml:space="preserve">  (1989) 213 Cal. App. 3d 465, 484-485 [261 Cal. Rptr. 735] </w:t>
      </w:r>
      <w:r>
        <w:rPr>
          <w:color w:val="000000"/>
          <w:spacing w:val="-2"/>
        </w:rPr>
        <w:t>[discussing criticism]; Sweet,</w:t>
      </w:r>
      <w:r>
        <w:rPr>
          <w:rFonts w:ascii="Times New Roman Italic" w:hAnsi="Times New Roman Italic"/>
          <w:color w:val="000000"/>
          <w:spacing w:val="-2"/>
        </w:rPr>
        <w:t xml:space="preserve"> Promissory</w:t>
      </w:r>
    </w:p>
    <w:p w:rsidR="00491B30" w:rsidRDefault="00BA5DC6">
      <w:pPr>
        <w:spacing w:before="1" w:line="259" w:lineRule="exact"/>
        <w:ind w:left="20" w:right="651"/>
        <w:jc w:val="both"/>
        <w:rPr>
          <w:color w:val="000000"/>
          <w:vertAlign w:val="superscript"/>
        </w:rPr>
      </w:pPr>
      <w:r>
        <w:rPr>
          <w:rFonts w:ascii="Times New Roman Italic" w:hAnsi="Times New Roman Italic"/>
          <w:color w:val="000000"/>
        </w:rPr>
        <w:t>Fraud and the Parol Evidence Rule</w:t>
      </w:r>
      <w:r>
        <w:rPr>
          <w:color w:val="000000"/>
        </w:rPr>
        <w:t xml:space="preserve"> (1961) 49 </w:t>
      </w:r>
      <w:r>
        <w:rPr>
          <w:color w:val="000000"/>
          <w:spacing w:val="-2"/>
        </w:rPr>
        <w:t xml:space="preserve">Cal.  L.Rev. </w:t>
      </w:r>
      <w:r>
        <w:rPr>
          <w:color w:val="000000"/>
          <w:spacing w:val="-3"/>
        </w:rPr>
        <w:t xml:space="preserve">877 (Sweet) </w:t>
      </w:r>
      <w:r>
        <w:rPr>
          <w:color w:val="000000"/>
          <w:spacing w:val="-2"/>
        </w:rPr>
        <w:t>[criticizing</w:t>
      </w:r>
      <w:r>
        <w:rPr>
          <w:rFonts w:ascii="Times New Roman Italic" w:hAnsi="Times New Roman Italic"/>
          <w:color w:val="000000"/>
          <w:spacing w:val="-2"/>
        </w:rPr>
        <w:t xml:space="preserve">  Pender-</w:t>
      </w:r>
      <w:r>
        <w:rPr>
          <w:rFonts w:ascii="Times New Roman Italic" w:hAnsi="Times New Roman Italic"/>
          <w:color w:val="000000"/>
          <w:spacing w:val="-2"/>
        </w:rPr>
        <w:br/>
      </w:r>
      <w:r>
        <w:rPr>
          <w:rFonts w:ascii="Times New Roman Italic" w:hAnsi="Times New Roman Italic"/>
          <w:color w:val="000000"/>
        </w:rPr>
        <w:t>grass</w:t>
      </w:r>
      <w:r>
        <w:rPr>
          <w:color w:val="000000"/>
        </w:rPr>
        <w:t>].) Until now, this court has not revisited the</w:t>
      </w:r>
      <w:r>
        <w:rPr>
          <w:rFonts w:ascii="Times New Roman Italic" w:hAnsi="Times New Roman Italic"/>
          <w:color w:val="000000"/>
        </w:rPr>
        <w:t xml:space="preserve"> Pendergrass</w:t>
      </w:r>
      <w:r>
        <w:rPr>
          <w:color w:val="000000"/>
        </w:rPr>
        <w:t xml:space="preserve"> rule.</w:t>
      </w:r>
      <w:r>
        <w:rPr>
          <w:color w:val="000000"/>
          <w:vertAlign w:val="superscript"/>
        </w:rPr>
        <w:t xml:space="preserve"> 6</w:t>
      </w:r>
    </w:p>
    <w:p w:rsidR="00491B30" w:rsidRDefault="00BA5DC6">
      <w:pPr>
        <w:spacing w:before="200" w:line="259" w:lineRule="exact"/>
        <w:ind w:left="20" w:right="682"/>
        <w:jc w:val="both"/>
        <w:rPr>
          <w:color w:val="000000"/>
        </w:rPr>
      </w:pPr>
      <w:r>
        <w:rPr>
          <w:color w:val="000000"/>
        </w:rPr>
        <w:t>The primary ground of attack on</w:t>
      </w:r>
      <w:r>
        <w:rPr>
          <w:rFonts w:ascii="Times New Roman Italic" w:hAnsi="Times New Roman Italic"/>
          <w:color w:val="000000"/>
        </w:rPr>
        <w:t xml:space="preserve"> Pendergrass </w:t>
      </w:r>
      <w:r>
        <w:rPr>
          <w:rFonts w:ascii="Times New Roman Italic" w:hAnsi="Times New Roman Italic"/>
          <w:color w:val="000000"/>
        </w:rPr>
        <w:br/>
      </w:r>
      <w:r>
        <w:rPr>
          <w:color w:val="000000"/>
          <w:w w:val="106"/>
        </w:rPr>
        <w:t>has been that it is inconsistent with the prin-</w:t>
      </w:r>
      <w:r>
        <w:rPr>
          <w:color w:val="000000"/>
          <w:w w:val="106"/>
        </w:rPr>
        <w:br/>
      </w:r>
      <w:r>
        <w:rPr>
          <w:color w:val="000000"/>
        </w:rPr>
        <w:t>ciple, reflected in the terms of</w:t>
      </w:r>
      <w:r>
        <w:rPr>
          <w:rFonts w:ascii="Times New Roman Italic" w:hAnsi="Times New Roman Italic"/>
          <w:color w:val="0000FF"/>
        </w:rPr>
        <w:t xml:space="preserve"> </w:t>
      </w:r>
      <w:r>
        <w:rPr>
          <w:rFonts w:ascii="Times New Roman Italic" w:hAnsi="Times New Roman Italic"/>
          <w:color w:val="0000FF"/>
          <w:u w:val="single"/>
        </w:rPr>
        <w:t xml:space="preserve"> section 1856</w:t>
      </w:r>
      <w:r>
        <w:rPr>
          <w:color w:val="000000"/>
        </w:rPr>
        <w:t xml:space="preserve">, </w:t>
      </w:r>
      <w:r>
        <w:rPr>
          <w:color w:val="000000"/>
        </w:rPr>
        <w:br/>
      </w:r>
      <w:r>
        <w:rPr>
          <w:color w:val="000000"/>
          <w:w w:val="101"/>
        </w:rPr>
        <w:t>that a contract may be invalidated by a show-</w:t>
      </w:r>
      <w:r>
        <w:rPr>
          <w:color w:val="000000"/>
          <w:w w:val="101"/>
        </w:rPr>
        <w:br/>
      </w:r>
      <w:r>
        <w:rPr>
          <w:color w:val="000000"/>
          <w:w w:val="101"/>
        </w:rPr>
        <w:t>ing of fraud. (</w:t>
      </w:r>
      <w:r>
        <w:rPr>
          <w:rFonts w:ascii="Times New Roman Italic" w:hAnsi="Times New Roman Italic"/>
          <w:color w:val="0000FF"/>
          <w:w w:val="101"/>
          <w:u w:val="single"/>
        </w:rPr>
        <w:t xml:space="preserve"> Coast Bank v. Holmes</w:t>
      </w:r>
      <w:r>
        <w:rPr>
          <w:color w:val="0000FF"/>
          <w:w w:val="101"/>
          <w:u w:val="single"/>
        </w:rPr>
        <w:t xml:space="preserve">  (1971) 19 </w:t>
      </w:r>
      <w:r>
        <w:rPr>
          <w:color w:val="0000FF"/>
          <w:w w:val="101"/>
          <w:u w:val="single"/>
        </w:rPr>
        <w:br/>
      </w:r>
      <w:r>
        <w:rPr>
          <w:color w:val="0000FF"/>
          <w:u w:val="single"/>
        </w:rPr>
        <w:t>Cal. App. 3d 581, 591 [97 Cal. Rptr. 30]</w:t>
      </w:r>
      <w:r>
        <w:rPr>
          <w:color w:val="000000"/>
        </w:rPr>
        <w:t>;</w:t>
      </w:r>
    </w:p>
    <w:p w:rsidR="00491B30" w:rsidRDefault="00BA5DC6">
      <w:pPr>
        <w:spacing w:line="259" w:lineRule="exact"/>
        <w:ind w:left="20" w:right="657" w:firstLine="79"/>
        <w:jc w:val="both"/>
        <w:rPr>
          <w:color w:val="000000"/>
        </w:rPr>
      </w:pPr>
      <w:r>
        <w:rPr>
          <w:rFonts w:ascii="Times New Roman Bold" w:hAnsi="Times New Roman Bold"/>
          <w:color w:val="000000"/>
        </w:rPr>
        <w:t>[**13]</w:t>
      </w:r>
      <w:r>
        <w:rPr>
          <w:color w:val="000000"/>
        </w:rPr>
        <w:t xml:space="preserve"> Sweet,</w:t>
      </w:r>
      <w:r>
        <w:rPr>
          <w:rFonts w:ascii="Times New Roman Italic" w:hAnsi="Times New Roman Italic"/>
          <w:color w:val="000000"/>
        </w:rPr>
        <w:t xml:space="preserve"> supra</w:t>
      </w:r>
      <w:r>
        <w:rPr>
          <w:color w:val="000000"/>
        </w:rPr>
        <w:t xml:space="preserve">, 49 Cal. L.Rev. at p. 887; </w:t>
      </w:r>
      <w:r>
        <w:rPr>
          <w:color w:val="000000"/>
          <w:spacing w:val="-1"/>
        </w:rPr>
        <w:t>Note,</w:t>
      </w:r>
      <w:r>
        <w:rPr>
          <w:rFonts w:ascii="Times New Roman Italic" w:hAnsi="Times New Roman Italic"/>
          <w:color w:val="000000"/>
          <w:spacing w:val="-1"/>
        </w:rPr>
        <w:t xml:space="preserve"> Parol Evidence: Admissibility to Show </w:t>
      </w:r>
      <w:r>
        <w:rPr>
          <w:rFonts w:ascii="Times New Roman Italic" w:hAnsi="Times New Roman Italic"/>
          <w:color w:val="000000"/>
        </w:rPr>
        <w:t>that a Promise was Made Without Intention to Perform It</w:t>
      </w:r>
      <w:r>
        <w:rPr>
          <w:color w:val="000000"/>
        </w:rPr>
        <w:t xml:space="preserve"> (1950) 38 Cal. L.Rev. 535, 538</w:t>
      </w:r>
    </w:p>
    <w:p w:rsidR="00491B30" w:rsidRDefault="00BA5DC6">
      <w:pPr>
        <w:spacing w:line="259" w:lineRule="exact"/>
        <w:ind w:left="20" w:right="639"/>
        <w:rPr>
          <w:color w:val="000000"/>
          <w:w w:val="101"/>
        </w:rPr>
      </w:pPr>
      <w:r>
        <w:rPr>
          <w:color w:val="000000"/>
          <w:spacing w:val="-1"/>
        </w:rPr>
        <w:t>(Note); see</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Pacific State Bank v. Greene</w:t>
      </w:r>
      <w:r>
        <w:rPr>
          <w:color w:val="0000FF"/>
          <w:spacing w:val="-1"/>
          <w:u w:val="single"/>
        </w:rPr>
        <w:t xml:space="preserve">  (2003) </w:t>
      </w:r>
      <w:r>
        <w:rPr>
          <w:color w:val="0000FF"/>
          <w:spacing w:val="-1"/>
          <w:u w:val="single"/>
        </w:rPr>
        <w:br/>
      </w:r>
      <w:r>
        <w:rPr>
          <w:color w:val="0000FF"/>
          <w:u w:val="single"/>
        </w:rPr>
        <w:t xml:space="preserve">110 Cal.App.4th 375, 390, 392 [1 Cal. Rptr. </w:t>
      </w:r>
      <w:r>
        <w:rPr>
          <w:color w:val="0000FF"/>
          <w:u w:val="single"/>
        </w:rPr>
        <w:br/>
      </w:r>
      <w:r>
        <w:rPr>
          <w:color w:val="0000FF"/>
          <w:spacing w:val="-2"/>
          <w:u w:val="single"/>
        </w:rPr>
        <w:t>3d 739]</w:t>
      </w:r>
      <w:r>
        <w:rPr>
          <w:color w:val="000000"/>
          <w:spacing w:val="-2"/>
        </w:rPr>
        <w:t xml:space="preserve">.) Evidence is deemed admissible for the </w:t>
      </w:r>
      <w:r>
        <w:rPr>
          <w:color w:val="000000"/>
          <w:spacing w:val="-2"/>
        </w:rPr>
        <w:br/>
      </w:r>
      <w:r>
        <w:rPr>
          <w:color w:val="000000"/>
          <w:spacing w:val="-1"/>
        </w:rPr>
        <w:t xml:space="preserve">purpose of proving fraud, without restriction, </w:t>
      </w:r>
      <w:r>
        <w:rPr>
          <w:color w:val="000000"/>
          <w:spacing w:val="-1"/>
        </w:rPr>
        <w:br/>
      </w:r>
      <w:r>
        <w:rPr>
          <w:color w:val="000000"/>
        </w:rPr>
        <w:t>in the Restatements. (</w:t>
      </w:r>
      <w:r>
        <w:rPr>
          <w:rFonts w:ascii="Times New Roman Italic" w:hAnsi="Times New Roman Italic"/>
          <w:color w:val="0000FF"/>
          <w:u w:val="single"/>
        </w:rPr>
        <w:t xml:space="preserve"> Rest.2d Contracts, § 214</w:t>
      </w:r>
      <w:r>
        <w:rPr>
          <w:color w:val="000000"/>
        </w:rPr>
        <w:t xml:space="preserve">, </w:t>
      </w:r>
      <w:r>
        <w:rPr>
          <w:color w:val="000000"/>
        </w:rPr>
        <w:br/>
      </w:r>
      <w:r>
        <w:rPr>
          <w:color w:val="000000"/>
          <w:w w:val="102"/>
        </w:rPr>
        <w:t>subd. (d), and</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coms. c</w:t>
      </w:r>
      <w:r>
        <w:rPr>
          <w:color w:val="000000"/>
          <w:w w:val="102"/>
        </w:rPr>
        <w:t xml:space="preserve"> &amp;</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d</w:t>
      </w:r>
      <w:r>
        <w:rPr>
          <w:color w:val="000000"/>
          <w:w w:val="102"/>
        </w:rPr>
        <w:t xml:space="preserve">, pp. 134-135; see </w:t>
      </w:r>
      <w:r>
        <w:rPr>
          <w:color w:val="000000"/>
          <w:w w:val="102"/>
        </w:rPr>
        <w:br/>
      </w:r>
      <w:r>
        <w:rPr>
          <w:rFonts w:ascii="Times New Roman Italic" w:hAnsi="Times New Roman Italic"/>
          <w:color w:val="000000"/>
          <w:w w:val="101"/>
        </w:rPr>
        <w:t>id.</w:t>
      </w:r>
      <w:r>
        <w:rPr>
          <w:color w:val="000000"/>
          <w:w w:val="101"/>
        </w:rPr>
        <w:t>,</w:t>
      </w:r>
      <w:r>
        <w:rPr>
          <w:rFonts w:ascii="Times New Roman Italic" w:hAnsi="Times New Roman Italic"/>
          <w:color w:val="0000FF"/>
          <w:w w:val="101"/>
        </w:rPr>
        <w:t xml:space="preserve"> </w:t>
      </w:r>
      <w:r>
        <w:rPr>
          <w:rFonts w:ascii="Times New Roman Italic" w:hAnsi="Times New Roman Italic"/>
          <w:color w:val="0000FF"/>
          <w:w w:val="101"/>
          <w:u w:val="single"/>
        </w:rPr>
        <w:t xml:space="preserve"> § 166, com. c</w:t>
      </w:r>
      <w:r>
        <w:rPr>
          <w:color w:val="000000"/>
          <w:w w:val="101"/>
        </w:rPr>
        <w:t>, p. 452;</w:t>
      </w:r>
      <w:r>
        <w:rPr>
          <w:rFonts w:ascii="Times New Roman Italic" w:hAnsi="Times New Roman Italic"/>
          <w:color w:val="0000FF"/>
          <w:w w:val="101"/>
        </w:rPr>
        <w:t xml:space="preserve"> </w:t>
      </w:r>
      <w:r>
        <w:rPr>
          <w:rFonts w:ascii="Times New Roman Italic" w:hAnsi="Times New Roman Italic"/>
          <w:color w:val="0000FF"/>
          <w:w w:val="101"/>
          <w:u w:val="single"/>
        </w:rPr>
        <w:t xml:space="preserve"> Rest.2d Torts, § 530, </w:t>
      </w:r>
      <w:r>
        <w:rPr>
          <w:rFonts w:ascii="Times New Roman Italic" w:hAnsi="Times New Roman Italic"/>
          <w:color w:val="0000FF"/>
          <w:w w:val="101"/>
          <w:u w:val="single"/>
        </w:rPr>
        <w:br/>
        <w:t>com. c</w:t>
      </w:r>
      <w:r>
        <w:rPr>
          <w:color w:val="000000"/>
          <w:w w:val="101"/>
        </w:rPr>
        <w:t>, p. 65.) Most of the treatises agree</w:t>
      </w:r>
    </w:p>
    <w:p w:rsidR="00491B30" w:rsidRDefault="00BA5DC6">
      <w:pPr>
        <w:spacing w:before="1" w:line="259" w:lineRule="exact"/>
        <w:ind w:left="20" w:right="639"/>
        <w:jc w:val="both"/>
        <w:rPr>
          <w:color w:val="000000"/>
        </w:rPr>
      </w:pPr>
      <w:r>
        <w:rPr>
          <w:color w:val="000000"/>
        </w:rPr>
        <w:t>that evidence of fraud is not affected by the pa-</w:t>
      </w:r>
      <w:r>
        <w:rPr>
          <w:color w:val="000000"/>
        </w:rPr>
        <w:br/>
        <w:t xml:space="preserve">rol evidence rule. (E.g., 6 </w:t>
      </w:r>
      <w:r>
        <w:rPr>
          <w:color w:val="000000"/>
        </w:rPr>
        <w:t>Corbin on Con-</w:t>
      </w:r>
    </w:p>
    <w:p w:rsidR="00491B30" w:rsidRDefault="00BA5DC6">
      <w:pPr>
        <w:spacing w:line="259" w:lineRule="exact"/>
        <w:ind w:left="20" w:right="703"/>
        <w:jc w:val="both"/>
        <w:rPr>
          <w:color w:val="000000"/>
        </w:rPr>
      </w:pPr>
      <w:r>
        <w:rPr>
          <w:color w:val="000000"/>
          <w:w w:val="101"/>
        </w:rPr>
        <w:t xml:space="preserve">tracts (rev. ed. 2010) § 25.20[A], pp. 277-280; </w:t>
      </w:r>
      <w:r>
        <w:rPr>
          <w:color w:val="000000"/>
        </w:rPr>
        <w:t>II Farnsworth on Contracts (3d ed. 2004) §</w:t>
      </w:r>
    </w:p>
    <w:p w:rsidR="00491B30" w:rsidRDefault="00BA5DC6">
      <w:pPr>
        <w:spacing w:line="259" w:lineRule="exact"/>
        <w:ind w:left="20" w:right="639"/>
        <w:rPr>
          <w:color w:val="000000"/>
          <w:w w:val="101"/>
        </w:rPr>
      </w:pPr>
      <w:r>
        <w:rPr>
          <w:color w:val="000000"/>
          <w:spacing w:val="-2"/>
        </w:rPr>
        <w:t xml:space="preserve">7.4, pp. 245-246; 11 Williston on Contracts (4th </w:t>
      </w:r>
      <w:r>
        <w:rPr>
          <w:color w:val="000000"/>
          <w:w w:val="101"/>
        </w:rPr>
        <w:t>ed. 2012) § 33:17, pp. 966-981.) The major-</w:t>
      </w:r>
      <w:r>
        <w:rPr>
          <w:color w:val="000000"/>
          <w:w w:val="101"/>
        </w:rPr>
        <w:br/>
      </w:r>
      <w:r>
        <w:rPr>
          <w:color w:val="000000"/>
        </w:rPr>
        <w:t xml:space="preserve">ity of other jurisdictions follow this traditional </w:t>
      </w:r>
      <w:r>
        <w:rPr>
          <w:color w:val="000000"/>
          <w:spacing w:val="-1"/>
        </w:rPr>
        <w:t>view.</w:t>
      </w:r>
      <w:r>
        <w:rPr>
          <w:rFonts w:ascii="Times New Roman Bold" w:hAnsi="Times New Roman Bold"/>
          <w:color w:val="000000"/>
          <w:spacing w:val="-1"/>
        </w:rPr>
        <w:t xml:space="preserve"> </w:t>
      </w:r>
      <w:r>
        <w:rPr>
          <w:rFonts w:ascii="Times New Roman Bold" w:hAnsi="Times New Roman Bold"/>
          <w:color w:val="000000"/>
          <w:spacing w:val="-1"/>
        </w:rPr>
        <w:t>[*1177]</w:t>
      </w:r>
      <w:r>
        <w:rPr>
          <w:color w:val="000000"/>
          <w:spacing w:val="-1"/>
        </w:rPr>
        <w:t xml:space="preserve"> (See</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Airs Internat., Inc. v. Per-</w:t>
      </w:r>
      <w:r>
        <w:rPr>
          <w:rFonts w:ascii="Times New Roman Italic" w:hAnsi="Times New Roman Italic"/>
          <w:color w:val="0000FF"/>
          <w:spacing w:val="-1"/>
          <w:u w:val="single"/>
        </w:rPr>
        <w:br/>
      </w:r>
      <w:r>
        <w:rPr>
          <w:rFonts w:ascii="Times New Roman Italic" w:hAnsi="Times New Roman Italic"/>
          <w:color w:val="0000FF"/>
          <w:spacing w:val="-2"/>
          <w:u w:val="single"/>
        </w:rPr>
        <w:t>fect Scents Distributions</w:t>
      </w:r>
      <w:r>
        <w:rPr>
          <w:color w:val="0000FF"/>
          <w:spacing w:val="-2"/>
          <w:u w:val="single"/>
        </w:rPr>
        <w:t xml:space="preserve">  (N.D.Cal. 1995) 902 F. </w:t>
      </w:r>
      <w:r>
        <w:rPr>
          <w:color w:val="0000FF"/>
          <w:spacing w:val="-1"/>
          <w:u w:val="single"/>
        </w:rPr>
        <w:t>Supp. 1141, 1146, fn. 15</w:t>
      </w:r>
      <w:r>
        <w:rPr>
          <w:color w:val="000000"/>
          <w:spacing w:val="-1"/>
        </w:rPr>
        <w:t>;</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Touche Ross, Ltd. v. Filipek</w:t>
      </w:r>
      <w:r>
        <w:rPr>
          <w:color w:val="0000FF"/>
          <w:spacing w:val="-1"/>
          <w:u w:val="single"/>
        </w:rPr>
        <w:t xml:space="preserve">  (1989) 7 Haw. App. 473 [778 P.2d 721, </w:t>
      </w:r>
      <w:r>
        <w:rPr>
          <w:color w:val="0000FF"/>
          <w:spacing w:val="-4"/>
          <w:u w:val="single"/>
        </w:rPr>
        <w:t>728]</w:t>
      </w:r>
      <w:r>
        <w:rPr>
          <w:color w:val="000000"/>
          <w:spacing w:val="-4"/>
        </w:rPr>
        <w:t>;</w:t>
      </w:r>
      <w:r>
        <w:rPr>
          <w:rFonts w:ascii="Times New Roman Italic" w:hAnsi="Times New Roman Italic"/>
          <w:color w:val="0000FF"/>
          <w:spacing w:val="-4"/>
        </w:rPr>
        <w:t xml:space="preserve"> </w:t>
      </w:r>
      <w:r>
        <w:rPr>
          <w:rFonts w:ascii="Times New Roman Italic" w:hAnsi="Times New Roman Italic"/>
          <w:color w:val="0000FF"/>
          <w:spacing w:val="-4"/>
          <w:u w:val="single"/>
        </w:rPr>
        <w:t xml:space="preserve"> Pinnacle Peak Developers v. TRW Invest-</w:t>
      </w:r>
      <w:r>
        <w:rPr>
          <w:rFonts w:ascii="Times New Roman Italic" w:hAnsi="Times New Roman Italic"/>
          <w:color w:val="0000FF"/>
          <w:spacing w:val="-4"/>
          <w:u w:val="single"/>
        </w:rPr>
        <w:br/>
      </w:r>
      <w:r>
        <w:rPr>
          <w:rFonts w:ascii="Times New Roman Italic" w:hAnsi="Times New Roman Italic"/>
          <w:color w:val="0000FF"/>
          <w:w w:val="101"/>
          <w:u w:val="single"/>
        </w:rPr>
        <w:t>ment Corp.</w:t>
      </w:r>
      <w:r>
        <w:rPr>
          <w:color w:val="0000FF"/>
          <w:w w:val="101"/>
          <w:u w:val="single"/>
        </w:rPr>
        <w:t xml:space="preserve">  (Ct.App. 1980) 129 Ariz. 385 [631 </w:t>
      </w:r>
      <w:r>
        <w:rPr>
          <w:color w:val="0000FF"/>
          <w:spacing w:val="-1"/>
          <w:u w:val="single"/>
        </w:rPr>
        <w:t>P.2d 540, 545]</w:t>
      </w:r>
      <w:r>
        <w:rPr>
          <w:color w:val="000000"/>
          <w:spacing w:val="-1"/>
        </w:rPr>
        <w:t xml:space="preserve"> [collecting cases]; Sweet,</w:t>
      </w:r>
      <w:r>
        <w:rPr>
          <w:rFonts w:ascii="Times New Roman Italic" w:hAnsi="Times New Roman Italic"/>
          <w:color w:val="000000"/>
          <w:spacing w:val="-1"/>
        </w:rPr>
        <w:t xml:space="preserve"> su-</w:t>
      </w:r>
      <w:r>
        <w:rPr>
          <w:rFonts w:ascii="Times New Roman Italic" w:hAnsi="Times New Roman Italic"/>
          <w:color w:val="000000"/>
          <w:spacing w:val="-1"/>
        </w:rPr>
        <w:br/>
      </w:r>
      <w:r>
        <w:rPr>
          <w:rFonts w:ascii="Times New Roman Italic" w:hAnsi="Times New Roman Italic"/>
          <w:color w:val="000000"/>
          <w:w w:val="101"/>
        </w:rPr>
        <w:t>pra</w:t>
      </w:r>
      <w:r>
        <w:rPr>
          <w:color w:val="000000"/>
          <w:w w:val="101"/>
        </w:rPr>
        <w:t>, 49 Cal. L.Rev. at p. 889.)</w:t>
      </w:r>
    </w:p>
    <w:p w:rsidR="00491B30" w:rsidRDefault="00BA5DC6">
      <w:pPr>
        <w:spacing w:before="200" w:line="259" w:lineRule="exact"/>
        <w:ind w:left="20" w:right="673"/>
        <w:jc w:val="both"/>
        <w:rPr>
          <w:color w:val="000000"/>
          <w:spacing w:val="-1"/>
        </w:rPr>
      </w:pPr>
      <w:r>
        <w:rPr>
          <w:color w:val="000000"/>
          <w:spacing w:val="-1"/>
        </w:rPr>
        <w:t xml:space="preserve">Underlying the objection  </w:t>
      </w:r>
      <w:r>
        <w:rPr>
          <w:rFonts w:ascii="Times New Roman Bold" w:hAnsi="Times New Roman Bold"/>
          <w:color w:val="000000"/>
          <w:spacing w:val="-1"/>
        </w:rPr>
        <w:t>[**14]</w:t>
      </w:r>
      <w:r>
        <w:rPr>
          <w:color w:val="000000"/>
          <w:spacing w:val="-1"/>
        </w:rPr>
        <w:t xml:space="preserve"> that</w:t>
      </w:r>
      <w:r>
        <w:rPr>
          <w:rFonts w:ascii="Times New Roman Italic" w:hAnsi="Times New Roman Italic"/>
          <w:color w:val="000000"/>
          <w:spacing w:val="-1"/>
        </w:rPr>
        <w:t xml:space="preserve"> Pender-</w:t>
      </w:r>
      <w:r>
        <w:rPr>
          <w:rFonts w:ascii="Times New Roman Italic" w:hAnsi="Times New Roman Italic"/>
          <w:color w:val="000000"/>
          <w:spacing w:val="-1"/>
        </w:rPr>
        <w:br/>
      </w:r>
      <w:r>
        <w:rPr>
          <w:rFonts w:ascii="Times New Roman Italic" w:hAnsi="Times New Roman Italic"/>
          <w:color w:val="000000"/>
          <w:w w:val="102"/>
        </w:rPr>
        <w:t>grass</w:t>
      </w:r>
      <w:r>
        <w:rPr>
          <w:color w:val="000000"/>
          <w:w w:val="102"/>
        </w:rPr>
        <w:t xml:space="preserve"> overlooks the impact of fraud on the va-</w:t>
      </w:r>
      <w:r>
        <w:rPr>
          <w:color w:val="000000"/>
          <w:w w:val="102"/>
        </w:rPr>
        <w:br/>
      </w:r>
      <w:r>
        <w:rPr>
          <w:color w:val="000000"/>
          <w:spacing w:val="-1"/>
        </w:rPr>
        <w:t>lidity of an agreement is a more practical con-</w:t>
      </w:r>
    </w:p>
    <w:p w:rsidR="00491B30" w:rsidRDefault="00491B30">
      <w:pPr>
        <w:rPr>
          <w:color w:val="000000"/>
          <w:spacing w:val="-1"/>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40" w:lineRule="exact"/>
        <w:ind w:left="898"/>
        <w:jc w:val="both"/>
        <w:rPr>
          <w:color w:val="000000"/>
          <w:spacing w:val="-1"/>
        </w:rPr>
      </w:pPr>
    </w:p>
    <w:p w:rsidR="00491B30" w:rsidRDefault="00491B30">
      <w:pPr>
        <w:spacing w:line="240" w:lineRule="exact"/>
        <w:ind w:left="898"/>
        <w:jc w:val="both"/>
        <w:rPr>
          <w:color w:val="000000"/>
          <w:spacing w:val="-1"/>
        </w:rPr>
      </w:pPr>
    </w:p>
    <w:p w:rsidR="00491B30" w:rsidRDefault="00BA5DC6">
      <w:pPr>
        <w:tabs>
          <w:tab w:val="left" w:pos="1148"/>
        </w:tabs>
        <w:spacing w:before="70" w:line="240" w:lineRule="exact"/>
        <w:ind w:left="898" w:right="802"/>
        <w:jc w:val="both"/>
        <w:rPr>
          <w:color w:val="000000"/>
          <w:w w:val="102"/>
          <w:sz w:val="18"/>
        </w:rPr>
      </w:pPr>
      <w:r>
        <w:rPr>
          <w:color w:val="000000"/>
          <w:spacing w:val="-2"/>
          <w:position w:val="2"/>
          <w:sz w:val="12"/>
        </w:rPr>
        <w:t xml:space="preserve">6 </w:t>
      </w:r>
      <w:r>
        <w:rPr>
          <w:color w:val="000000"/>
          <w:spacing w:val="-2"/>
          <w:position w:val="2"/>
          <w:sz w:val="12"/>
        </w:rPr>
        <w:tab/>
      </w:r>
      <w:r>
        <w:rPr>
          <w:rFonts w:ascii="Times New Roman Italic" w:hAnsi="Times New Roman Italic"/>
          <w:color w:val="000000"/>
          <w:w w:val="102"/>
          <w:position w:val="-3"/>
          <w:sz w:val="18"/>
        </w:rPr>
        <w:t>Casa Herrera</w:t>
      </w:r>
      <w:r>
        <w:rPr>
          <w:color w:val="000000"/>
          <w:w w:val="102"/>
          <w:position w:val="-3"/>
          <w:sz w:val="18"/>
        </w:rPr>
        <w:t xml:space="preserve"> was not itself a parol evidence case; there we held that a nonsuit based on the parol evidence rule amounted to </w:t>
      </w:r>
      <w:r>
        <w:rPr>
          <w:color w:val="000000"/>
          <w:w w:val="102"/>
          <w:position w:val="-3"/>
          <w:sz w:val="18"/>
        </w:rPr>
        <w:br/>
      </w:r>
      <w:r>
        <w:rPr>
          <w:color w:val="000000"/>
          <w:w w:val="102"/>
          <w:sz w:val="18"/>
        </w:rPr>
        <w:t>a favorable termination for purposes of a subsequent malicious prosecution action. (</w:t>
      </w:r>
      <w:r>
        <w:rPr>
          <w:rFonts w:ascii="Times New Roman Italic" w:hAnsi="Times New Roman Italic"/>
          <w:color w:val="0000FF"/>
          <w:w w:val="102"/>
          <w:sz w:val="18"/>
          <w:u w:val="single"/>
        </w:rPr>
        <w:t xml:space="preserve"> Casa Herrera, supra</w:t>
      </w:r>
      <w:r>
        <w:rPr>
          <w:color w:val="0000FF"/>
          <w:w w:val="102"/>
          <w:sz w:val="18"/>
          <w:u w:val="single"/>
        </w:rPr>
        <w:t xml:space="preserve"> , 32 Cal.4th at p. 349</w:t>
      </w:r>
      <w:r>
        <w:rPr>
          <w:color w:val="000000"/>
          <w:w w:val="102"/>
          <w:sz w:val="18"/>
        </w:rPr>
        <w:t xml:space="preserve">.) </w:t>
      </w:r>
    </w:p>
    <w:p w:rsidR="00491B30" w:rsidRDefault="00491B30">
      <w:pPr>
        <w:spacing w:line="230" w:lineRule="exact"/>
        <w:ind w:left="5183"/>
        <w:rPr>
          <w:color w:val="000000"/>
          <w:w w:val="102"/>
          <w:sz w:val="18"/>
        </w:rPr>
      </w:pPr>
    </w:p>
    <w:p w:rsidR="00491B30" w:rsidRDefault="00BA5DC6">
      <w:pPr>
        <w:spacing w:before="59" w:line="230" w:lineRule="exact"/>
        <w:ind w:left="5183"/>
        <w:rPr>
          <w:color w:val="000000"/>
          <w:spacing w:val="-1"/>
          <w:sz w:val="20"/>
        </w:rPr>
      </w:pPr>
      <w:r>
        <w:rPr>
          <w:color w:val="000000"/>
          <w:spacing w:val="-1"/>
          <w:sz w:val="20"/>
        </w:rPr>
        <w:t xml:space="preserve">Charles Cox </w:t>
      </w:r>
      <w:r>
        <w:rPr>
          <w:color w:val="000000"/>
          <w:spacing w:val="-1"/>
          <w:sz w:val="20"/>
        </w:rPr>
        <w:pict>
          <v:line id="_x0000_s1101" style="position:absolute;left:0;text-align:left;z-index:-251575296;mso-position-horizontal-relative:page;mso-position-vertical-relative:page" from="66.5pt,691.9pt" to="545.45pt,691.9pt" o:allowincell="f" strokeweight="1.5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33"/>
        <w:rPr>
          <w:color w:val="000000"/>
          <w:sz w:val="20"/>
        </w:rPr>
      </w:pPr>
      <w:bookmarkStart w:id="9" w:name="Pg10"/>
      <w:bookmarkEnd w:id="9"/>
      <w:r>
        <w:rPr>
          <w:color w:val="000000"/>
          <w:sz w:val="20"/>
        </w:rPr>
        <w:lastRenderedPageBreak/>
        <w:t>55 Cal. 4th 1169, *1177; 2013 Cal. LEXIS 253, **14</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59" w:lineRule="exact"/>
        <w:ind w:left="898"/>
        <w:rPr>
          <w:color w:val="000000"/>
          <w:sz w:val="20"/>
        </w:rPr>
      </w:pPr>
    </w:p>
    <w:p w:rsidR="00491B30" w:rsidRDefault="00491B30">
      <w:pPr>
        <w:spacing w:line="259" w:lineRule="exact"/>
        <w:ind w:left="898"/>
        <w:rPr>
          <w:color w:val="000000"/>
          <w:sz w:val="20"/>
        </w:rPr>
      </w:pPr>
    </w:p>
    <w:p w:rsidR="00491B30" w:rsidRDefault="00BA5DC6">
      <w:pPr>
        <w:spacing w:before="22" w:line="259" w:lineRule="exact"/>
        <w:ind w:left="898"/>
        <w:rPr>
          <w:color w:val="000000"/>
        </w:rPr>
      </w:pPr>
      <w:r>
        <w:rPr>
          <w:color w:val="000000"/>
        </w:rPr>
        <w:t xml:space="preserve">cern: its limitation on evidence of fraud may </w:t>
      </w:r>
      <w:r>
        <w:rPr>
          <w:color w:val="000000"/>
        </w:rPr>
        <w:br/>
      </w:r>
      <w:r>
        <w:rPr>
          <w:color w:val="000000"/>
          <w:w w:val="104"/>
        </w:rPr>
        <w:t>itself further fraudulent practices. As an Or-</w:t>
      </w:r>
      <w:r>
        <w:rPr>
          <w:color w:val="000000"/>
          <w:w w:val="104"/>
        </w:rPr>
        <w:br/>
        <w:t>egon court noted:</w:t>
      </w:r>
      <w:r>
        <w:rPr>
          <w:color w:val="000000"/>
          <w:w w:val="104"/>
        </w:rPr>
        <w:t xml:space="preserve"> “Oral promises made with-</w:t>
      </w:r>
      <w:r>
        <w:rPr>
          <w:color w:val="000000"/>
          <w:w w:val="104"/>
        </w:rPr>
        <w:br/>
      </w:r>
      <w:r>
        <w:rPr>
          <w:color w:val="000000"/>
        </w:rPr>
        <w:t xml:space="preserve">out the promisor’s intention that they will be </w:t>
      </w:r>
      <w:r>
        <w:rPr>
          <w:color w:val="000000"/>
        </w:rPr>
        <w:br/>
      </w:r>
      <w:r>
        <w:rPr>
          <w:color w:val="000000"/>
          <w:spacing w:val="-3"/>
        </w:rPr>
        <w:t>performed could be an effective means of decep-</w:t>
      </w:r>
      <w:r>
        <w:rPr>
          <w:color w:val="000000"/>
          <w:spacing w:val="-3"/>
        </w:rPr>
        <w:br/>
      </w:r>
      <w:r>
        <w:rPr>
          <w:color w:val="000000"/>
        </w:rPr>
        <w:t xml:space="preserve">tion if evidence of those fraudulent promises </w:t>
      </w:r>
      <w:r>
        <w:rPr>
          <w:color w:val="000000"/>
        </w:rPr>
        <w:br/>
      </w:r>
      <w:r>
        <w:rPr>
          <w:color w:val="000000"/>
          <w:spacing w:val="-3"/>
        </w:rPr>
        <w:t xml:space="preserve">were never admissible merely because they were </w:t>
      </w:r>
      <w:r>
        <w:rPr>
          <w:color w:val="000000"/>
          <w:spacing w:val="-3"/>
        </w:rPr>
        <w:br/>
      </w:r>
      <w:r>
        <w:rPr>
          <w:color w:val="000000"/>
        </w:rPr>
        <w:t xml:space="preserve">at variance with a subsequent written </w:t>
      </w:r>
      <w:r>
        <w:rPr>
          <w:color w:val="000000"/>
        </w:rPr>
        <w:t>agree-</w:t>
      </w:r>
      <w:r>
        <w:rPr>
          <w:color w:val="000000"/>
        </w:rPr>
        <w:br/>
      </w:r>
      <w:r>
        <w:rPr>
          <w:color w:val="000000"/>
          <w:w w:val="101"/>
        </w:rPr>
        <w:t>ment.” (</w:t>
      </w:r>
      <w:r>
        <w:rPr>
          <w:rFonts w:ascii="Times New Roman Italic" w:hAnsi="Times New Roman Italic"/>
          <w:color w:val="0000FF"/>
          <w:w w:val="101"/>
          <w:u w:val="single"/>
        </w:rPr>
        <w:t xml:space="preserve"> Howell v. Oregonian Publishing Co. </w:t>
      </w:r>
      <w:r>
        <w:rPr>
          <w:rFonts w:ascii="Times New Roman Italic" w:hAnsi="Times New Roman Italic"/>
          <w:color w:val="0000FF"/>
          <w:w w:val="101"/>
          <w:u w:val="single"/>
        </w:rPr>
        <w:br/>
      </w:r>
      <w:r>
        <w:rPr>
          <w:color w:val="0000FF"/>
          <w:spacing w:val="-3"/>
          <w:u w:val="single"/>
        </w:rPr>
        <w:t xml:space="preserve"> (1987) 85 Ore. App. 84 [735 P.2d 659, 661]</w:t>
      </w:r>
      <w:r>
        <w:rPr>
          <w:color w:val="000000"/>
          <w:spacing w:val="-3"/>
        </w:rPr>
        <w:t xml:space="preserve">; see </w:t>
      </w:r>
      <w:r>
        <w:rPr>
          <w:color w:val="000000"/>
          <w:spacing w:val="-3"/>
        </w:rPr>
        <w:br/>
      </w:r>
      <w:r>
        <w:rPr>
          <w:color w:val="000000"/>
          <w:spacing w:val="-2"/>
        </w:rPr>
        <w:t>Sweet,</w:t>
      </w:r>
      <w:r>
        <w:rPr>
          <w:rFonts w:ascii="Times New Roman Italic" w:hAnsi="Times New Roman Italic"/>
          <w:color w:val="000000"/>
          <w:spacing w:val="-2"/>
        </w:rPr>
        <w:t xml:space="preserve"> supra</w:t>
      </w:r>
      <w:r>
        <w:rPr>
          <w:color w:val="000000"/>
          <w:spacing w:val="-2"/>
        </w:rPr>
        <w:t>, 49 Cal. L.Rev. at p. 896 [“Prom-</w:t>
      </w:r>
      <w:r>
        <w:rPr>
          <w:color w:val="000000"/>
          <w:spacing w:val="-2"/>
        </w:rPr>
        <w:br/>
      </w:r>
      <w:r>
        <w:rPr>
          <w:color w:val="000000"/>
        </w:rPr>
        <w:t>ises made without the intention on the part</w:t>
      </w:r>
    </w:p>
    <w:p w:rsidR="00491B30" w:rsidRDefault="00BA5DC6">
      <w:pPr>
        <w:spacing w:before="1" w:line="259" w:lineRule="exact"/>
        <w:ind w:left="898"/>
        <w:rPr>
          <w:color w:val="000000"/>
          <w:w w:val="101"/>
        </w:rPr>
      </w:pPr>
      <w:r>
        <w:rPr>
          <w:color w:val="000000"/>
          <w:w w:val="101"/>
        </w:rPr>
        <w:t xml:space="preserve">of the promisor that they will be performed are </w:t>
      </w:r>
      <w:r>
        <w:rPr>
          <w:color w:val="000000"/>
          <w:w w:val="101"/>
        </w:rPr>
        <w:br/>
      </w:r>
      <w:r>
        <w:rPr>
          <w:color w:val="000000"/>
        </w:rPr>
        <w:t xml:space="preserve">unfortunately a facile and effective means of </w:t>
      </w:r>
      <w:r>
        <w:rPr>
          <w:color w:val="000000"/>
        </w:rPr>
        <w:br/>
      </w:r>
      <w:r>
        <w:rPr>
          <w:color w:val="000000"/>
          <w:w w:val="101"/>
        </w:rPr>
        <w:t>deception”].) Corbin observes: “The best rea-</w:t>
      </w:r>
      <w:r>
        <w:rPr>
          <w:color w:val="000000"/>
          <w:w w:val="101"/>
        </w:rPr>
        <w:br/>
      </w:r>
      <w:r>
        <w:rPr>
          <w:color w:val="000000"/>
        </w:rPr>
        <w:t xml:space="preserve">son for allowing fraud and similar undermining </w:t>
      </w:r>
      <w:r>
        <w:rPr>
          <w:color w:val="000000"/>
        </w:rPr>
        <w:br/>
        <w:t>factors to be proven extrinsically is the obvi-</w:t>
      </w:r>
      <w:r>
        <w:rPr>
          <w:color w:val="000000"/>
        </w:rPr>
        <w:br/>
      </w:r>
      <w:r>
        <w:rPr>
          <w:color w:val="000000"/>
          <w:spacing w:val="-3"/>
        </w:rPr>
        <w:t xml:space="preserve">ous one: if there was fraud, or a mistake or some </w:t>
      </w:r>
      <w:r>
        <w:rPr>
          <w:color w:val="000000"/>
          <w:spacing w:val="-3"/>
        </w:rPr>
        <w:br/>
      </w:r>
      <w:r>
        <w:rPr>
          <w:color w:val="000000"/>
          <w:spacing w:val="-1"/>
        </w:rPr>
        <w:t>form of illegali</w:t>
      </w:r>
      <w:r>
        <w:rPr>
          <w:color w:val="000000"/>
          <w:spacing w:val="-1"/>
        </w:rPr>
        <w:t>ty, it is unlikely that it was bar-</w:t>
      </w:r>
      <w:r>
        <w:rPr>
          <w:color w:val="000000"/>
          <w:spacing w:val="-1"/>
        </w:rPr>
        <w:br/>
      </w:r>
      <w:r>
        <w:rPr>
          <w:color w:val="000000"/>
          <w:w w:val="101"/>
        </w:rPr>
        <w:t>gained over or will be recited in the docu-</w:t>
      </w:r>
    </w:p>
    <w:p w:rsidR="00491B30" w:rsidRDefault="00BA5DC6">
      <w:pPr>
        <w:spacing w:line="259" w:lineRule="exact"/>
        <w:ind w:left="898"/>
        <w:rPr>
          <w:color w:val="000000"/>
        </w:rPr>
      </w:pPr>
      <w:r>
        <w:rPr>
          <w:color w:val="000000"/>
        </w:rPr>
        <w:t xml:space="preserve">ment. To bar extrinsic evidence would be to </w:t>
      </w:r>
      <w:r>
        <w:rPr>
          <w:color w:val="000000"/>
          <w:w w:val="101"/>
        </w:rPr>
        <w:t>make the parol evidence rule a shield to pro-</w:t>
      </w:r>
      <w:r>
        <w:rPr>
          <w:color w:val="000000"/>
          <w:w w:val="101"/>
        </w:rPr>
        <w:br/>
      </w:r>
      <w:r>
        <w:rPr>
          <w:color w:val="000000"/>
          <w:spacing w:val="-1"/>
        </w:rPr>
        <w:t>tect misconduct or mistake.” (6 Corbin on Con-</w:t>
      </w:r>
      <w:r>
        <w:rPr>
          <w:color w:val="000000"/>
          <w:spacing w:val="-1"/>
        </w:rPr>
        <w:br/>
      </w:r>
      <w:r>
        <w:rPr>
          <w:color w:val="000000"/>
        </w:rPr>
        <w:t>tracts,</w:t>
      </w:r>
      <w:r>
        <w:rPr>
          <w:rFonts w:ascii="Times New Roman Italic" w:hAnsi="Times New Roman Italic"/>
          <w:color w:val="000000"/>
        </w:rPr>
        <w:t xml:space="preserve"> supra</w:t>
      </w:r>
      <w:r>
        <w:rPr>
          <w:color w:val="000000"/>
        </w:rPr>
        <w:t>, § 25.20[A], p. 280.)</w:t>
      </w:r>
    </w:p>
    <w:p w:rsidR="00491B30" w:rsidRDefault="00BA5DC6">
      <w:pPr>
        <w:spacing w:before="200" w:line="259" w:lineRule="exact"/>
        <w:ind w:left="898" w:right="57"/>
        <w:rPr>
          <w:rFonts w:ascii="Times New Roman Italic" w:hAnsi="Times New Roman Italic"/>
          <w:color w:val="0000FF"/>
          <w:w w:val="101"/>
          <w:u w:val="single"/>
        </w:rPr>
      </w:pPr>
      <w:r>
        <w:rPr>
          <w:rFonts w:ascii="Times New Roman Italic" w:hAnsi="Times New Roman Italic"/>
          <w:color w:val="000000"/>
          <w:spacing w:val="-1"/>
        </w:rPr>
        <w:t>Pendergrass</w:t>
      </w:r>
      <w:r>
        <w:rPr>
          <w:color w:val="000000"/>
          <w:spacing w:val="-1"/>
        </w:rPr>
        <w:t xml:space="preserve"> has been criticized  </w:t>
      </w:r>
      <w:r>
        <w:rPr>
          <w:rFonts w:ascii="Times New Roman Bold" w:hAnsi="Times New Roman Bold"/>
          <w:color w:val="000000"/>
          <w:spacing w:val="-1"/>
        </w:rPr>
        <w:t>[**15]</w:t>
      </w:r>
      <w:r>
        <w:rPr>
          <w:color w:val="000000"/>
          <w:spacing w:val="-1"/>
        </w:rPr>
        <w:t xml:space="preserve"> on </w:t>
      </w:r>
      <w:r>
        <w:rPr>
          <w:color w:val="000000"/>
          <w:spacing w:val="-1"/>
        </w:rPr>
        <w:br/>
      </w:r>
      <w:r>
        <w:rPr>
          <w:color w:val="000000"/>
        </w:rPr>
        <w:t xml:space="preserve">other grounds as well. The distinction between </w:t>
      </w:r>
      <w:r>
        <w:rPr>
          <w:color w:val="000000"/>
        </w:rPr>
        <w:br/>
      </w:r>
      <w:r>
        <w:rPr>
          <w:color w:val="000000"/>
          <w:spacing w:val="-1"/>
        </w:rPr>
        <w:t xml:space="preserve">promises deemed consistent with the writing </w:t>
      </w:r>
      <w:r>
        <w:rPr>
          <w:color w:val="000000"/>
          <w:spacing w:val="-1"/>
        </w:rPr>
        <w:br/>
      </w:r>
      <w:r>
        <w:rPr>
          <w:color w:val="000000"/>
        </w:rPr>
        <w:t>and those considered inconsistent has been de-</w:t>
      </w:r>
      <w:r>
        <w:rPr>
          <w:color w:val="000000"/>
        </w:rPr>
        <w:br/>
      </w:r>
      <w:r>
        <w:rPr>
          <w:color w:val="000000"/>
          <w:spacing w:val="-1"/>
        </w:rPr>
        <w:t>scribed as “tenuous.” (</w:t>
      </w:r>
      <w:r>
        <w:rPr>
          <w:rFonts w:ascii="Times New Roman Italic" w:hAnsi="Times New Roman Italic"/>
          <w:color w:val="0000FF"/>
          <w:spacing w:val="-1"/>
          <w:u w:val="single"/>
        </w:rPr>
        <w:t xml:space="preserve"> Coast Bank v. Holmes, </w:t>
      </w:r>
      <w:r>
        <w:rPr>
          <w:rFonts w:ascii="Times New Roman Italic" w:hAnsi="Times New Roman Italic"/>
          <w:color w:val="0000FF"/>
          <w:spacing w:val="-1"/>
          <w:u w:val="single"/>
        </w:rPr>
        <w:br/>
      </w:r>
      <w:r>
        <w:rPr>
          <w:rFonts w:ascii="Times New Roman Italic" w:hAnsi="Times New Roman Italic"/>
          <w:color w:val="0000FF"/>
          <w:w w:val="101"/>
          <w:u w:val="single"/>
        </w:rPr>
        <w:t>supra</w:t>
      </w:r>
      <w:r>
        <w:rPr>
          <w:color w:val="0000FF"/>
          <w:w w:val="101"/>
          <w:u w:val="single"/>
        </w:rPr>
        <w:t xml:space="preserve"> , 19 Cal. App. 3d a</w:t>
      </w:r>
      <w:r>
        <w:rPr>
          <w:color w:val="0000FF"/>
          <w:w w:val="101"/>
          <w:u w:val="single"/>
        </w:rPr>
        <w:t>t p. 591</w:t>
      </w:r>
      <w:r>
        <w:rPr>
          <w:color w:val="000000"/>
          <w:w w:val="101"/>
        </w:rPr>
        <w:t>; see</w:t>
      </w:r>
      <w:r>
        <w:rPr>
          <w:rFonts w:ascii="Times New Roman Italic" w:hAnsi="Times New Roman Italic"/>
          <w:color w:val="0000FF"/>
          <w:w w:val="101"/>
        </w:rPr>
        <w:t xml:space="preserve"> </w:t>
      </w:r>
      <w:r>
        <w:rPr>
          <w:rFonts w:ascii="Times New Roman Italic" w:hAnsi="Times New Roman Italic"/>
          <w:color w:val="0000FF"/>
          <w:w w:val="101"/>
          <w:u w:val="single"/>
        </w:rPr>
        <w:t xml:space="preserve"> Simmons</w:t>
      </w:r>
    </w:p>
    <w:p w:rsidR="00491B30" w:rsidRDefault="00BA5DC6">
      <w:pPr>
        <w:spacing w:before="1" w:line="259" w:lineRule="exact"/>
        <w:ind w:left="898" w:right="210"/>
        <w:rPr>
          <w:color w:val="000000"/>
        </w:rPr>
      </w:pPr>
      <w:r>
        <w:rPr>
          <w:rFonts w:ascii="Times New Roman Italic" w:hAnsi="Times New Roman Italic"/>
          <w:color w:val="0000FF"/>
          <w:spacing w:val="-1"/>
          <w:u w:val="single"/>
        </w:rPr>
        <w:t>v. Cal. Institute of Technology</w:t>
      </w:r>
      <w:r>
        <w:rPr>
          <w:color w:val="0000FF"/>
          <w:spacing w:val="-1"/>
          <w:u w:val="single"/>
        </w:rPr>
        <w:t xml:space="preserve">  (1949) 34 </w:t>
      </w:r>
      <w:r>
        <w:rPr>
          <w:color w:val="0000FF"/>
          <w:spacing w:val="-1"/>
          <w:u w:val="single"/>
        </w:rPr>
        <w:br/>
      </w:r>
      <w:r>
        <w:rPr>
          <w:color w:val="0000FF"/>
          <w:u w:val="single"/>
        </w:rPr>
        <w:t>Cal.2d 264, 274 [209 P.2d 581]</w:t>
      </w:r>
      <w:r>
        <w:rPr>
          <w:color w:val="000000"/>
        </w:rPr>
        <w:t>; Note,</w:t>
      </w:r>
      <w:r>
        <w:rPr>
          <w:rFonts w:ascii="Times New Roman Italic" w:hAnsi="Times New Roman Italic"/>
          <w:color w:val="000000"/>
        </w:rPr>
        <w:t xml:space="preserve"> supra</w:t>
      </w:r>
      <w:r>
        <w:rPr>
          <w:color w:val="000000"/>
        </w:rPr>
        <w:t>,</w:t>
      </w:r>
    </w:p>
    <w:p w:rsidR="00491B30" w:rsidRDefault="00BA5DC6">
      <w:pPr>
        <w:spacing w:before="1" w:line="259" w:lineRule="exact"/>
        <w:ind w:left="898" w:right="33"/>
        <w:jc w:val="both"/>
        <w:rPr>
          <w:color w:val="000000"/>
          <w:spacing w:val="-4"/>
        </w:rPr>
      </w:pPr>
      <w:r>
        <w:rPr>
          <w:color w:val="000000"/>
        </w:rPr>
        <w:t>38 Cal. L.Rev. at p. 537 [discussing</w:t>
      </w:r>
      <w:r>
        <w:rPr>
          <w:rFonts w:ascii="Times New Roman Italic" w:hAnsi="Times New Roman Italic"/>
          <w:color w:val="000000"/>
        </w:rPr>
        <w:t xml:space="preserve"> Simmons</w:t>
      </w:r>
      <w:r>
        <w:rPr>
          <w:color w:val="000000"/>
        </w:rPr>
        <w:t xml:space="preserve">]; </w:t>
      </w:r>
      <w:r>
        <w:rPr>
          <w:color w:val="000000"/>
        </w:rPr>
        <w:br/>
      </w:r>
      <w:r>
        <w:rPr>
          <w:color w:val="000000"/>
          <w:spacing w:val="-4"/>
        </w:rPr>
        <w:t>Sweet,</w:t>
      </w:r>
      <w:r>
        <w:rPr>
          <w:rFonts w:ascii="Times New Roman Italic" w:hAnsi="Times New Roman Italic"/>
          <w:color w:val="000000"/>
          <w:spacing w:val="-4"/>
        </w:rPr>
        <w:t xml:space="preserve"> supra</w:t>
      </w:r>
      <w:r>
        <w:rPr>
          <w:color w:val="000000"/>
          <w:spacing w:val="-4"/>
        </w:rPr>
        <w:t>, 49 Cal. L.Rev. at p. 896 [“any at-</w:t>
      </w:r>
    </w:p>
    <w:p w:rsidR="00491B30" w:rsidRDefault="00BA5DC6">
      <w:pPr>
        <w:spacing w:line="259" w:lineRule="exact"/>
        <w:ind w:left="5807"/>
        <w:jc w:val="both"/>
        <w:rPr>
          <w:color w:val="000000"/>
          <w:spacing w:val="-4"/>
        </w:rPr>
      </w:pPr>
      <w:r>
        <w:rPr>
          <w:color w:val="000000"/>
          <w:spacing w:val="-4"/>
        </w:rPr>
        <w:br w:type="column"/>
      </w:r>
    </w:p>
    <w:p w:rsidR="00491B30" w:rsidRDefault="00491B30">
      <w:pPr>
        <w:spacing w:line="259" w:lineRule="exact"/>
        <w:ind w:left="5807"/>
        <w:jc w:val="both"/>
        <w:rPr>
          <w:color w:val="000000"/>
          <w:spacing w:val="-4"/>
        </w:rPr>
      </w:pPr>
    </w:p>
    <w:p w:rsidR="00491B30" w:rsidRDefault="00BA5DC6">
      <w:pPr>
        <w:spacing w:before="22" w:line="259" w:lineRule="exact"/>
        <w:ind w:left="20" w:right="639"/>
        <w:jc w:val="both"/>
        <w:rPr>
          <w:color w:val="000000"/>
          <w:spacing w:val="-1"/>
        </w:rPr>
      </w:pPr>
      <w:r>
        <w:rPr>
          <w:color w:val="000000"/>
          <w:spacing w:val="-1"/>
        </w:rPr>
        <w:t xml:space="preserve">tempt to forecast results in this area is a </w:t>
      </w:r>
      <w:r>
        <w:rPr>
          <w:color w:val="000000"/>
          <w:spacing w:val="-1"/>
        </w:rPr>
        <w:t>hazard-</w:t>
      </w:r>
      <w:r>
        <w:rPr>
          <w:color w:val="000000"/>
          <w:spacing w:val="-1"/>
        </w:rPr>
        <w:br/>
        <w:t>ous undertaking”].) The distinction between</w:t>
      </w:r>
    </w:p>
    <w:p w:rsidR="00491B30" w:rsidRDefault="00BA5DC6">
      <w:pPr>
        <w:spacing w:line="259" w:lineRule="exact"/>
        <w:ind w:left="20" w:right="639"/>
        <w:jc w:val="both"/>
        <w:rPr>
          <w:rFonts w:ascii="Times New Roman Italic" w:hAnsi="Times New Roman Italic"/>
          <w:color w:val="000000"/>
          <w:spacing w:val="-1"/>
        </w:rPr>
      </w:pPr>
      <w:r>
        <w:rPr>
          <w:color w:val="000000"/>
          <w:spacing w:val="-4"/>
        </w:rPr>
        <w:t xml:space="preserve">false promises and misrepresentations of fact has </w:t>
      </w:r>
      <w:r>
        <w:rPr>
          <w:color w:val="000000"/>
          <w:spacing w:val="-1"/>
        </w:rPr>
        <w:t>been called “very troublesome.” (Sweet,</w:t>
      </w:r>
      <w:r>
        <w:rPr>
          <w:rFonts w:ascii="Times New Roman Italic" w:hAnsi="Times New Roman Italic"/>
          <w:color w:val="000000"/>
          <w:spacing w:val="-1"/>
        </w:rPr>
        <w:t xml:space="preserve"> su-</w:t>
      </w:r>
    </w:p>
    <w:p w:rsidR="00491B30" w:rsidRDefault="00BA5DC6">
      <w:pPr>
        <w:spacing w:line="259" w:lineRule="exact"/>
        <w:ind w:left="20" w:right="697"/>
        <w:jc w:val="both"/>
        <w:rPr>
          <w:color w:val="000000"/>
        </w:rPr>
      </w:pPr>
      <w:r>
        <w:rPr>
          <w:rFonts w:ascii="Times New Roman Italic" w:hAnsi="Times New Roman Italic"/>
          <w:color w:val="000000"/>
          <w:w w:val="101"/>
        </w:rPr>
        <w:t>pra</w:t>
      </w:r>
      <w:r>
        <w:rPr>
          <w:color w:val="000000"/>
          <w:w w:val="101"/>
        </w:rPr>
        <w:t xml:space="preserve">, 49 Cal. L.Rev. at p. 895.) It has also been </w:t>
      </w:r>
      <w:r>
        <w:rPr>
          <w:color w:val="000000"/>
          <w:w w:val="101"/>
        </w:rPr>
        <w:br/>
      </w:r>
      <w:r>
        <w:rPr>
          <w:color w:val="000000"/>
        </w:rPr>
        <w:t xml:space="preserve">noted that some courts have resisted applying </w:t>
      </w:r>
      <w:r>
        <w:rPr>
          <w:color w:val="000000"/>
        </w:rPr>
        <w:br/>
      </w:r>
      <w:r>
        <w:rPr>
          <w:color w:val="000000"/>
          <w:w w:val="103"/>
        </w:rPr>
        <w:t>the</w:t>
      </w:r>
      <w:r>
        <w:rPr>
          <w:rFonts w:ascii="Times New Roman Italic" w:hAnsi="Times New Roman Italic"/>
          <w:color w:val="000000"/>
          <w:w w:val="103"/>
        </w:rPr>
        <w:t xml:space="preserve"> Pendergrass</w:t>
      </w:r>
      <w:r>
        <w:rPr>
          <w:color w:val="000000"/>
          <w:w w:val="103"/>
        </w:rPr>
        <w:t xml:space="preserve"> limitation by various means, </w:t>
      </w:r>
      <w:r>
        <w:rPr>
          <w:color w:val="000000"/>
          <w:w w:val="103"/>
        </w:rPr>
        <w:br/>
      </w:r>
      <w:r>
        <w:rPr>
          <w:color w:val="000000"/>
        </w:rPr>
        <w:t>leading to uncertainty in the case law. (See</w:t>
      </w:r>
    </w:p>
    <w:p w:rsidR="00491B30" w:rsidRDefault="00BA5DC6">
      <w:pPr>
        <w:spacing w:before="1" w:line="259" w:lineRule="exact"/>
        <w:ind w:left="20" w:right="640"/>
        <w:rPr>
          <w:color w:val="000000"/>
          <w:w w:val="101"/>
        </w:rPr>
      </w:pPr>
      <w:r>
        <w:rPr>
          <w:rFonts w:ascii="Times New Roman Italic" w:hAnsi="Times New Roman Italic"/>
          <w:color w:val="0000FF"/>
          <w:spacing w:val="-1"/>
          <w:u w:val="single"/>
        </w:rPr>
        <w:t xml:space="preserve"> Duncan v. The McCaffrey Group, Inc., supra</w:t>
      </w:r>
      <w:r>
        <w:rPr>
          <w:color w:val="0000FF"/>
          <w:spacing w:val="-1"/>
          <w:u w:val="single"/>
        </w:rPr>
        <w:t xml:space="preserve"> , </w:t>
      </w:r>
      <w:r>
        <w:rPr>
          <w:color w:val="0000FF"/>
          <w:spacing w:val="-1"/>
          <w:u w:val="single"/>
        </w:rPr>
        <w:br/>
      </w:r>
      <w:r>
        <w:rPr>
          <w:color w:val="0000FF"/>
          <w:spacing w:val="-2"/>
          <w:u w:val="single"/>
        </w:rPr>
        <w:t>200 Cal.App.4th at pp. 369, 376-377</w:t>
      </w:r>
      <w:r>
        <w:rPr>
          <w:color w:val="000000"/>
          <w:spacing w:val="-2"/>
        </w:rPr>
        <w:t>; Sweet,</w:t>
      </w:r>
      <w:r>
        <w:rPr>
          <w:rFonts w:ascii="Times New Roman Italic" w:hAnsi="Times New Roman Italic"/>
          <w:color w:val="000000"/>
          <w:spacing w:val="-2"/>
        </w:rPr>
        <w:t xml:space="preserve"> su-</w:t>
      </w:r>
      <w:r>
        <w:rPr>
          <w:rFonts w:ascii="Times New Roman Italic" w:hAnsi="Times New Roman Italic"/>
          <w:color w:val="000000"/>
          <w:spacing w:val="-2"/>
        </w:rPr>
        <w:br/>
      </w:r>
      <w:r>
        <w:rPr>
          <w:rFonts w:ascii="Times New Roman Italic" w:hAnsi="Times New Roman Italic"/>
          <w:color w:val="000000"/>
          <w:w w:val="101"/>
        </w:rPr>
        <w:t>pra</w:t>
      </w:r>
      <w:r>
        <w:rPr>
          <w:color w:val="000000"/>
          <w:w w:val="101"/>
        </w:rPr>
        <w:t>, 49 Cal. L.Rev. at pp. 885-886; Sweet, at</w:t>
      </w:r>
    </w:p>
    <w:p w:rsidR="00491B30" w:rsidRDefault="00BA5DC6">
      <w:pPr>
        <w:spacing w:line="259" w:lineRule="exact"/>
        <w:ind w:left="20" w:right="697"/>
        <w:jc w:val="both"/>
        <w:rPr>
          <w:rFonts w:ascii="Times New Roman Italic" w:hAnsi="Times New Roman Italic"/>
          <w:color w:val="000000"/>
          <w:spacing w:val="-1"/>
        </w:rPr>
      </w:pPr>
      <w:r>
        <w:rPr>
          <w:color w:val="000000"/>
          <w:spacing w:val="-3"/>
        </w:rPr>
        <w:t xml:space="preserve">p.  907  </w:t>
      </w:r>
      <w:r>
        <w:rPr>
          <w:color w:val="000000"/>
        </w:rPr>
        <w:t xml:space="preserve">[“The  California </w:t>
      </w:r>
      <w:r>
        <w:rPr>
          <w:color w:val="000000"/>
        </w:rPr>
        <w:t xml:space="preserve"> experience  demon-</w:t>
      </w:r>
      <w:r>
        <w:rPr>
          <w:color w:val="000000"/>
        </w:rPr>
        <w:br/>
      </w:r>
      <w:r>
        <w:rPr>
          <w:color w:val="000000"/>
          <w:spacing w:val="-1"/>
        </w:rPr>
        <w:t>strates that even where a restrictive rule is ad-</w:t>
      </w:r>
      <w:r>
        <w:rPr>
          <w:color w:val="000000"/>
          <w:spacing w:val="-1"/>
        </w:rPr>
        <w:br/>
      </w:r>
      <w:r>
        <w:rPr>
          <w:color w:val="000000"/>
          <w:w w:val="103"/>
        </w:rPr>
        <w:t xml:space="preserve">opted, many devices will develop to avoid its </w:t>
      </w:r>
      <w:r>
        <w:rPr>
          <w:color w:val="000000"/>
          <w:w w:val="103"/>
        </w:rPr>
        <w:br/>
      </w:r>
      <w:r>
        <w:rPr>
          <w:color w:val="000000"/>
        </w:rPr>
        <w:t>impact.”]; Note,</w:t>
      </w:r>
      <w:r>
        <w:rPr>
          <w:rFonts w:ascii="Times New Roman Italic" w:hAnsi="Times New Roman Italic"/>
          <w:color w:val="000000"/>
        </w:rPr>
        <w:t xml:space="preserve"> The Fraud Exception to the </w:t>
      </w:r>
      <w:r>
        <w:rPr>
          <w:rFonts w:ascii="Times New Roman Italic" w:hAnsi="Times New Roman Italic"/>
          <w:color w:val="000000"/>
        </w:rPr>
        <w:br/>
      </w:r>
      <w:r>
        <w:rPr>
          <w:rFonts w:ascii="Times New Roman Italic" w:hAnsi="Times New Roman Italic"/>
          <w:color w:val="000000"/>
          <w:spacing w:val="-1"/>
        </w:rPr>
        <w:t xml:space="preserve">Parol Evidence Rule: Necessary Protection for </w:t>
      </w:r>
      <w:r>
        <w:rPr>
          <w:rFonts w:ascii="Times New Roman Italic" w:hAnsi="Times New Roman Italic"/>
          <w:color w:val="000000"/>
          <w:spacing w:val="-1"/>
        </w:rPr>
        <w:br/>
        <w:t>Fraud Victims or Loophole for Clever Par-</w:t>
      </w:r>
    </w:p>
    <w:p w:rsidR="00491B30" w:rsidRDefault="00BA5DC6">
      <w:pPr>
        <w:tabs>
          <w:tab w:val="left" w:pos="630"/>
          <w:tab w:val="left" w:pos="1421"/>
          <w:tab w:val="left" w:pos="1813"/>
          <w:tab w:val="left" w:pos="4032"/>
        </w:tabs>
        <w:spacing w:before="1" w:line="259" w:lineRule="exact"/>
        <w:ind w:left="20"/>
        <w:rPr>
          <w:color w:val="000000"/>
          <w:spacing w:val="-3"/>
        </w:rPr>
      </w:pPr>
      <w:r>
        <w:rPr>
          <w:rFonts w:ascii="Times New Roman Italic" w:hAnsi="Times New Roman Italic"/>
          <w:color w:val="000000"/>
          <w:spacing w:val="-3"/>
        </w:rPr>
        <w:t>ties?</w:t>
      </w:r>
      <w:r>
        <w:rPr>
          <w:rFonts w:ascii="Times New Roman Italic" w:hAnsi="Times New Roman Italic"/>
          <w:color w:val="000000"/>
          <w:spacing w:val="-3"/>
        </w:rPr>
        <w:tab/>
      </w:r>
      <w:r>
        <w:rPr>
          <w:color w:val="000000"/>
          <w:spacing w:val="-3"/>
        </w:rPr>
        <w:t xml:space="preserve">(2009) </w:t>
      </w:r>
      <w:r>
        <w:rPr>
          <w:color w:val="000000"/>
          <w:spacing w:val="-3"/>
        </w:rPr>
        <w:tab/>
        <w:t>82</w:t>
      </w:r>
      <w:r>
        <w:rPr>
          <w:color w:val="000000"/>
          <w:spacing w:val="-3"/>
        </w:rPr>
        <w:tab/>
      </w:r>
      <w:r>
        <w:rPr>
          <w:color w:val="000000"/>
          <w:spacing w:val="-2"/>
        </w:rPr>
        <w:t xml:space="preserve">So.Cal.  L.Rev.  </w:t>
      </w:r>
      <w:r>
        <w:rPr>
          <w:color w:val="000000"/>
          <w:spacing w:val="-3"/>
        </w:rPr>
        <w:t>809,</w:t>
      </w:r>
      <w:r>
        <w:rPr>
          <w:color w:val="000000"/>
          <w:spacing w:val="-3"/>
        </w:rPr>
        <w:tab/>
        <w:t>829</w:t>
      </w:r>
    </w:p>
    <w:p w:rsidR="00491B30" w:rsidRDefault="00BA5DC6">
      <w:pPr>
        <w:spacing w:line="259" w:lineRule="exact"/>
        <w:ind w:left="20" w:right="639" w:firstLine="61"/>
        <w:jc w:val="both"/>
        <w:rPr>
          <w:color w:val="000000"/>
          <w:spacing w:val="-1"/>
        </w:rPr>
      </w:pPr>
      <w:r>
        <w:rPr>
          <w:rFonts w:ascii="Times New Roman Bold" w:hAnsi="Times New Roman Bold"/>
          <w:color w:val="000000"/>
          <w:spacing w:val="-3"/>
        </w:rPr>
        <w:t>[**16]</w:t>
      </w:r>
      <w:r>
        <w:rPr>
          <w:color w:val="000000"/>
          <w:spacing w:val="-3"/>
        </w:rPr>
        <w:t xml:space="preserve"> (</w:t>
      </w:r>
      <w:r>
        <w:rPr>
          <w:rFonts w:ascii="Times New Roman Italic" w:hAnsi="Times New Roman Italic"/>
          <w:color w:val="000000"/>
          <w:spacing w:val="-3"/>
        </w:rPr>
        <w:t>Fraud Exception</w:t>
      </w:r>
      <w:r>
        <w:rPr>
          <w:color w:val="000000"/>
          <w:spacing w:val="-3"/>
        </w:rPr>
        <w:t xml:space="preserve">) [reviewing cases, and </w:t>
      </w:r>
      <w:r>
        <w:rPr>
          <w:color w:val="000000"/>
          <w:spacing w:val="-1"/>
        </w:rPr>
        <w:t>concluding that “inconsistent application of</w:t>
      </w:r>
    </w:p>
    <w:p w:rsidR="00491B30" w:rsidRDefault="00BA5DC6">
      <w:pPr>
        <w:spacing w:line="259" w:lineRule="exact"/>
        <w:ind w:left="20" w:right="640"/>
        <w:jc w:val="both"/>
        <w:rPr>
          <w:color w:val="000000"/>
          <w:w w:val="101"/>
          <w:vertAlign w:val="superscript"/>
        </w:rPr>
      </w:pPr>
      <w:r>
        <w:rPr>
          <w:color w:val="000000"/>
          <w:spacing w:val="-1"/>
        </w:rPr>
        <w:t>the fraud</w:t>
      </w:r>
      <w:r>
        <w:rPr>
          <w:rFonts w:ascii="Times New Roman Bold" w:hAnsi="Times New Roman Bold"/>
          <w:color w:val="000000"/>
          <w:spacing w:val="-1"/>
        </w:rPr>
        <w:t xml:space="preserve"> [*1178]</w:t>
      </w:r>
      <w:r>
        <w:rPr>
          <w:color w:val="000000"/>
          <w:spacing w:val="-1"/>
        </w:rPr>
        <w:t xml:space="preserve">  exception</w:t>
      </w:r>
      <w:r>
        <w:rPr>
          <w:rFonts w:ascii="Arial" w:hAnsi="Arial"/>
          <w:color w:val="000000"/>
          <w:spacing w:val="-1"/>
        </w:rPr>
        <w:t xml:space="preserve"> …</w:t>
      </w:r>
      <w:r>
        <w:rPr>
          <w:color w:val="000000"/>
          <w:spacing w:val="-1"/>
        </w:rPr>
        <w:t xml:space="preserve"> undermines the </w:t>
      </w:r>
      <w:r>
        <w:rPr>
          <w:color w:val="000000"/>
          <w:spacing w:val="-2"/>
        </w:rPr>
        <w:t>belief that the</w:t>
      </w:r>
      <w:r>
        <w:rPr>
          <w:rFonts w:ascii="Times New Roman Italic" w:hAnsi="Times New Roman Italic"/>
          <w:color w:val="000000"/>
          <w:spacing w:val="-2"/>
        </w:rPr>
        <w:t xml:space="preserve"> Pendergrass</w:t>
      </w:r>
      <w:r>
        <w:rPr>
          <w:color w:val="000000"/>
          <w:spacing w:val="-2"/>
        </w:rPr>
        <w:t xml:space="preserve"> rule is clear, defen-</w:t>
      </w:r>
      <w:r>
        <w:rPr>
          <w:color w:val="000000"/>
          <w:spacing w:val="-2"/>
        </w:rPr>
        <w:br/>
      </w:r>
      <w:r>
        <w:rPr>
          <w:color w:val="000000"/>
          <w:w w:val="101"/>
        </w:rPr>
        <w:t>sible, and viable</w:t>
      </w:r>
      <w:r>
        <w:rPr>
          <w:rFonts w:ascii="Arial" w:hAnsi="Arial"/>
          <w:color w:val="000000"/>
          <w:w w:val="101"/>
        </w:rPr>
        <w:t xml:space="preserve"> …</w:t>
      </w:r>
      <w:r>
        <w:rPr>
          <w:color w:val="000000"/>
          <w:w w:val="101"/>
        </w:rPr>
        <w:t>”].)</w:t>
      </w:r>
      <w:r>
        <w:rPr>
          <w:color w:val="000000"/>
          <w:w w:val="101"/>
          <w:vertAlign w:val="superscript"/>
        </w:rPr>
        <w:t xml:space="preserve"> 7</w:t>
      </w:r>
    </w:p>
    <w:p w:rsidR="00491B30" w:rsidRDefault="00491B30">
      <w:pPr>
        <w:spacing w:line="259" w:lineRule="exact"/>
        <w:ind w:left="5807"/>
        <w:jc w:val="both"/>
        <w:rPr>
          <w:color w:val="000000"/>
          <w:w w:val="101"/>
          <w:vertAlign w:val="superscript"/>
        </w:rPr>
      </w:pPr>
    </w:p>
    <w:p w:rsidR="00491B30" w:rsidRDefault="00BA5DC6">
      <w:pPr>
        <w:spacing w:before="41" w:line="259" w:lineRule="exact"/>
        <w:ind w:left="20" w:right="661"/>
        <w:jc w:val="both"/>
        <w:rPr>
          <w:color w:val="000000"/>
          <w:spacing w:val="-1"/>
        </w:rPr>
      </w:pPr>
      <w:r>
        <w:rPr>
          <w:color w:val="000000"/>
        </w:rPr>
        <w:t xml:space="preserve">In </w:t>
      </w:r>
      <w:r>
        <w:rPr>
          <w:color w:val="000000"/>
        </w:rPr>
        <w:t>1977, the California Law Revision Commis-</w:t>
      </w:r>
      <w:r>
        <w:rPr>
          <w:color w:val="000000"/>
        </w:rPr>
        <w:br/>
      </w:r>
      <w:r>
        <w:rPr>
          <w:color w:val="000000"/>
          <w:spacing w:val="-1"/>
        </w:rPr>
        <w:t>sion ignored</w:t>
      </w:r>
      <w:r>
        <w:rPr>
          <w:rFonts w:ascii="Times New Roman Italic" w:hAnsi="Times New Roman Italic"/>
          <w:color w:val="000000"/>
          <w:spacing w:val="-1"/>
        </w:rPr>
        <w:t xml:space="preserve"> Pendergrass</w:t>
      </w:r>
      <w:r>
        <w:rPr>
          <w:color w:val="000000"/>
          <w:spacing w:val="-1"/>
        </w:rPr>
        <w:t xml:space="preserve"> when it proposed</w:t>
      </w:r>
    </w:p>
    <w:p w:rsidR="00491B30" w:rsidRDefault="00BA5DC6">
      <w:pPr>
        <w:spacing w:line="259" w:lineRule="exact"/>
        <w:ind w:left="20" w:right="639"/>
        <w:jc w:val="both"/>
        <w:rPr>
          <w:color w:val="000000"/>
          <w:w w:val="104"/>
        </w:rPr>
      </w:pPr>
      <w:r>
        <w:rPr>
          <w:color w:val="000000"/>
          <w:spacing w:val="-2"/>
        </w:rPr>
        <w:t xml:space="preserve">modifications to the statutory formulation of the </w:t>
      </w:r>
      <w:r>
        <w:rPr>
          <w:color w:val="000000"/>
          <w:spacing w:val="-1"/>
        </w:rPr>
        <w:t xml:space="preserve">parol evidence rule. The commission advised </w:t>
      </w:r>
      <w:r>
        <w:rPr>
          <w:color w:val="000000"/>
        </w:rPr>
        <w:t>the Legislature to conform the terms of</w:t>
      </w:r>
      <w:r>
        <w:rPr>
          <w:rFonts w:ascii="Times New Roman Italic" w:hAnsi="Times New Roman Italic"/>
          <w:color w:val="0000FF"/>
        </w:rPr>
        <w:t xml:space="preserve"> </w:t>
      </w:r>
      <w:r>
        <w:rPr>
          <w:rFonts w:ascii="Times New Roman Italic" w:hAnsi="Times New Roman Italic"/>
          <w:color w:val="0000FF"/>
          <w:u w:val="single"/>
        </w:rPr>
        <w:t xml:space="preserve"> section 1856</w:t>
      </w:r>
      <w:r>
        <w:rPr>
          <w:color w:val="000000"/>
        </w:rPr>
        <w:t xml:space="preserve"> with rulings handed down by this court, observing: “As the parol </w:t>
      </w:r>
      <w:r>
        <w:rPr>
          <w:rFonts w:ascii="Times New Roman Bold" w:hAnsi="Times New Roman Bold"/>
          <w:color w:val="000000"/>
          <w:spacing w:val="-1"/>
        </w:rPr>
        <w:t>[**18]</w:t>
      </w:r>
      <w:r>
        <w:rPr>
          <w:color w:val="000000"/>
          <w:spacing w:val="-1"/>
        </w:rPr>
        <w:t xml:space="preserve"> evidence rule </w:t>
      </w:r>
      <w:r>
        <w:rPr>
          <w:color w:val="000000"/>
          <w:spacing w:val="-2"/>
        </w:rPr>
        <w:t>exists in California today, it bears little resem-</w:t>
      </w:r>
      <w:r>
        <w:rPr>
          <w:color w:val="000000"/>
          <w:spacing w:val="-2"/>
        </w:rPr>
        <w:br/>
      </w:r>
      <w:r>
        <w:rPr>
          <w:color w:val="000000"/>
          <w:w w:val="104"/>
        </w:rPr>
        <w:t xml:space="preserve">blance to the statutory statement of the rule.” </w:t>
      </w:r>
      <w:r>
        <w:rPr>
          <w:color w:val="000000"/>
          <w:spacing w:val="-1"/>
        </w:rPr>
        <w:t xml:space="preserve">(Recommendation Relating to Parol Evidence </w:t>
      </w:r>
      <w:r>
        <w:rPr>
          <w:color w:val="000000"/>
          <w:w w:val="106"/>
        </w:rPr>
        <w:t xml:space="preserve">Rule, 14 Cal. </w:t>
      </w:r>
      <w:r>
        <w:rPr>
          <w:rFonts w:ascii="Times New Roman Bold" w:hAnsi="Times New Roman Bold"/>
          <w:color w:val="000000"/>
          <w:w w:val="104"/>
        </w:rPr>
        <w:t>[*1179]</w:t>
      </w:r>
      <w:r>
        <w:rPr>
          <w:color w:val="000000"/>
          <w:w w:val="104"/>
        </w:rPr>
        <w:t xml:space="preserve">  Law Revision Com. </w:t>
      </w:r>
    </w:p>
    <w:p w:rsidR="00491B30" w:rsidRDefault="00491B30">
      <w:pPr>
        <w:rPr>
          <w:color w:val="000000"/>
          <w:w w:val="104"/>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08" w:lineRule="exact"/>
        <w:ind w:left="898"/>
        <w:rPr>
          <w:color w:val="000000"/>
          <w:w w:val="104"/>
        </w:rPr>
      </w:pPr>
    </w:p>
    <w:p w:rsidR="00491B30" w:rsidRDefault="00BA5DC6">
      <w:pPr>
        <w:tabs>
          <w:tab w:val="left" w:pos="1148"/>
        </w:tabs>
        <w:spacing w:before="202" w:line="208" w:lineRule="exact"/>
        <w:ind w:left="898" w:right="742"/>
        <w:rPr>
          <w:color w:val="000000"/>
          <w:sz w:val="18"/>
        </w:rPr>
      </w:pPr>
      <w:r>
        <w:rPr>
          <w:color w:val="000000"/>
          <w:spacing w:val="-2"/>
          <w:position w:val="2"/>
          <w:sz w:val="12"/>
        </w:rPr>
        <w:t xml:space="preserve">7 </w:t>
      </w:r>
      <w:r>
        <w:rPr>
          <w:color w:val="000000"/>
          <w:spacing w:val="-2"/>
          <w:position w:val="2"/>
          <w:sz w:val="12"/>
        </w:rPr>
        <w:tab/>
      </w:r>
      <w:r>
        <w:rPr>
          <w:color w:val="000000"/>
          <w:position w:val="-3"/>
          <w:sz w:val="18"/>
        </w:rPr>
        <w:t>For instance, it has been held, erroneously, that</w:t>
      </w:r>
      <w:r>
        <w:rPr>
          <w:rFonts w:ascii="Times New Roman Italic" w:hAnsi="Times New Roman Italic"/>
          <w:color w:val="000000"/>
          <w:position w:val="-3"/>
          <w:sz w:val="18"/>
        </w:rPr>
        <w:t xml:space="preserve"> Pendergrass</w:t>
      </w:r>
      <w:r>
        <w:rPr>
          <w:color w:val="000000"/>
          <w:position w:val="-3"/>
          <w:sz w:val="18"/>
        </w:rPr>
        <w:t xml:space="preserve"> has no application to a fraud cause of action. (</w:t>
      </w:r>
      <w:r>
        <w:rPr>
          <w:rFonts w:ascii="Times New Roman Italic" w:hAnsi="Times New Roman Italic"/>
          <w:color w:val="0000FF"/>
          <w:position w:val="-3"/>
          <w:sz w:val="18"/>
          <w:u w:val="single"/>
        </w:rPr>
        <w:t xml:space="preserve"> Cobbledick-Kibbe </w:t>
      </w:r>
      <w:r>
        <w:rPr>
          <w:rFonts w:ascii="Times New Roman Italic" w:hAnsi="Times New Roman Italic"/>
          <w:color w:val="0000FF"/>
          <w:position w:val="-3"/>
          <w:sz w:val="18"/>
          <w:u w:val="single"/>
        </w:rPr>
        <w:br/>
      </w:r>
      <w:r>
        <w:rPr>
          <w:rFonts w:ascii="Times New Roman Italic" w:hAnsi="Times New Roman Italic"/>
          <w:color w:val="0000FF"/>
          <w:sz w:val="18"/>
          <w:u w:val="single"/>
        </w:rPr>
        <w:t>Glass Co. v. Pugh</w:t>
      </w:r>
      <w:r>
        <w:rPr>
          <w:color w:val="0000FF"/>
          <w:sz w:val="18"/>
          <w:u w:val="single"/>
        </w:rPr>
        <w:t xml:space="preserve">  (1958) 161 Cal. App. 2d 123, 126 [326 P.2d 197]</w:t>
      </w:r>
      <w:r>
        <w:rPr>
          <w:color w:val="000000"/>
          <w:sz w:val="18"/>
        </w:rPr>
        <w:t>; see</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West v. Henderson</w:t>
      </w:r>
      <w:r>
        <w:rPr>
          <w:color w:val="0000FF"/>
          <w:sz w:val="18"/>
          <w:u w:val="single"/>
        </w:rPr>
        <w:t xml:space="preserve">  (1991) 227 Cal. App. 3d 1578, </w:t>
      </w:r>
      <w:r>
        <w:rPr>
          <w:color w:val="0000FF"/>
          <w:sz w:val="18"/>
          <w:u w:val="single"/>
        </w:rPr>
        <w:br/>
        <w:t>1584 [278 Cal. Rptr. 570]</w:t>
      </w:r>
      <w:r>
        <w:rPr>
          <w:color w:val="000000"/>
          <w:sz w:val="18"/>
        </w:rPr>
        <w:t>.) Fine distinctions between consistent and inconsistent promises have been made, with no effort to evalu-</w:t>
      </w:r>
      <w:r>
        <w:rPr>
          <w:color w:val="000000"/>
          <w:sz w:val="18"/>
        </w:rPr>
        <w:br/>
        <w:t>ate the relative weight attached by the defrauded party to the consistent</w:t>
      </w:r>
      <w:r>
        <w:rPr>
          <w:color w:val="000000"/>
          <w:sz w:val="18"/>
        </w:rPr>
        <w:t xml:space="preserve"> and inconsistent representations. (E.g.,</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Coast Bank v. </w:t>
      </w:r>
      <w:r>
        <w:rPr>
          <w:rFonts w:ascii="Times New Roman Italic" w:hAnsi="Times New Roman Italic"/>
          <w:color w:val="0000FF"/>
          <w:sz w:val="18"/>
          <w:u w:val="single"/>
        </w:rPr>
        <w:br/>
        <w:t>Holmes, supra</w:t>
      </w:r>
      <w:r>
        <w:rPr>
          <w:color w:val="0000FF"/>
          <w:sz w:val="18"/>
          <w:u w:val="single"/>
        </w:rPr>
        <w:t xml:space="preserve"> , 19 Cal. App. 3d at p. 592</w:t>
      </w:r>
      <w:r>
        <w:rPr>
          <w:color w:val="000000"/>
          <w:sz w:val="18"/>
        </w:rPr>
        <w:t>;</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Shyvers v. Mitchell</w:t>
      </w:r>
      <w:r>
        <w:rPr>
          <w:color w:val="0000FF"/>
          <w:sz w:val="18"/>
          <w:u w:val="single"/>
        </w:rPr>
        <w:t xml:space="preserve">  (1955) 133 Cal. App. 2d 569, 573-574 [284 P.2d 826]</w:t>
      </w:r>
      <w:r>
        <w:rPr>
          <w:color w:val="000000"/>
          <w:sz w:val="18"/>
        </w:rPr>
        <w:t>.) On one oc-</w:t>
      </w:r>
      <w:r>
        <w:rPr>
          <w:color w:val="000000"/>
          <w:sz w:val="18"/>
        </w:rPr>
        <w:br/>
        <w:t>casion,</w:t>
      </w:r>
      <w:r>
        <w:rPr>
          <w:rFonts w:ascii="Times New Roman Italic" w:hAnsi="Times New Roman Italic"/>
          <w:color w:val="000000"/>
          <w:sz w:val="18"/>
        </w:rPr>
        <w:t xml:space="preserve"> Pendergrass</w:t>
      </w:r>
      <w:r>
        <w:rPr>
          <w:color w:val="000000"/>
          <w:sz w:val="18"/>
        </w:rPr>
        <w:t xml:space="preserve"> was simply flouted. (</w:t>
      </w:r>
      <w:r>
        <w:rPr>
          <w:rFonts w:ascii="Times New Roman Italic" w:hAnsi="Times New Roman Italic"/>
          <w:color w:val="0000FF"/>
          <w:sz w:val="18"/>
          <w:u w:val="single"/>
        </w:rPr>
        <w:t xml:space="preserve"> Munchow v. Kraszewski</w:t>
      </w:r>
      <w:r>
        <w:rPr>
          <w:color w:val="0000FF"/>
          <w:sz w:val="18"/>
          <w:u w:val="single"/>
        </w:rPr>
        <w:t xml:space="preserve">  (19</w:t>
      </w:r>
      <w:r>
        <w:rPr>
          <w:color w:val="0000FF"/>
          <w:sz w:val="18"/>
          <w:u w:val="single"/>
        </w:rPr>
        <w:t>76) 56 Cal. App. 3d 831, 836 [128 Cal. Rptr. 762]</w:t>
      </w:r>
      <w:r>
        <w:rPr>
          <w:color w:val="000000"/>
          <w:sz w:val="18"/>
        </w:rPr>
        <w:t xml:space="preserve">.) </w:t>
      </w:r>
    </w:p>
    <w:p w:rsidR="00491B30" w:rsidRDefault="00BA5DC6">
      <w:pPr>
        <w:spacing w:before="119" w:line="200" w:lineRule="exact"/>
        <w:ind w:left="898" w:right="733"/>
        <w:jc w:val="both"/>
        <w:rPr>
          <w:color w:val="000000"/>
          <w:spacing w:val="-1"/>
          <w:sz w:val="18"/>
        </w:rPr>
      </w:pPr>
      <w:r>
        <w:rPr>
          <w:color w:val="000000"/>
          <w:sz w:val="18"/>
        </w:rPr>
        <w:t>The most well-developed detour around</w:t>
      </w:r>
      <w:r>
        <w:rPr>
          <w:rFonts w:ascii="Times New Roman Italic" w:hAnsi="Times New Roman Italic"/>
          <w:color w:val="000000"/>
          <w:sz w:val="18"/>
        </w:rPr>
        <w:t xml:space="preserve"> Pendergrass</w:t>
      </w:r>
      <w:r>
        <w:rPr>
          <w:color w:val="000000"/>
          <w:sz w:val="18"/>
        </w:rPr>
        <w:t xml:space="preserve"> has drawn a line between false</w:t>
      </w:r>
      <w:r>
        <w:rPr>
          <w:rFonts w:ascii="Times New Roman Italic" w:hAnsi="Times New Roman Italic"/>
          <w:color w:val="000000"/>
          <w:sz w:val="18"/>
        </w:rPr>
        <w:t xml:space="preserve"> promises</w:t>
      </w:r>
      <w:r>
        <w:rPr>
          <w:color w:val="000000"/>
          <w:sz w:val="18"/>
        </w:rPr>
        <w:t xml:space="preserve"> at variance with the terms of a con-</w:t>
      </w:r>
      <w:r>
        <w:rPr>
          <w:color w:val="000000"/>
          <w:sz w:val="18"/>
        </w:rPr>
        <w:br/>
        <w:t>tract and misrepresentations of</w:t>
      </w:r>
      <w:r>
        <w:rPr>
          <w:rFonts w:ascii="Times New Roman Italic" w:hAnsi="Times New Roman Italic"/>
          <w:color w:val="000000"/>
          <w:sz w:val="18"/>
        </w:rPr>
        <w:t xml:space="preserve"> fact</w:t>
      </w:r>
      <w:r>
        <w:rPr>
          <w:color w:val="000000"/>
          <w:sz w:val="18"/>
        </w:rPr>
        <w:t xml:space="preserve"> about the contents of the document. Thi</w:t>
      </w:r>
      <w:r>
        <w:rPr>
          <w:color w:val="000000"/>
          <w:sz w:val="18"/>
        </w:rPr>
        <w:t xml:space="preserve">s theory, on which the Court of Appeal below relied, </w:t>
      </w:r>
      <w:r>
        <w:rPr>
          <w:color w:val="000000"/>
          <w:sz w:val="18"/>
        </w:rPr>
        <w:br/>
        <w:t>was articulated at length in</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Pacific State Bank v. Greene, supra</w:t>
      </w:r>
      <w:r>
        <w:rPr>
          <w:color w:val="0000FF"/>
          <w:sz w:val="18"/>
          <w:u w:val="single"/>
        </w:rPr>
        <w:t xml:space="preserve"> , 110 Cal.App.4th at pages 390-396</w:t>
      </w:r>
      <w:r>
        <w:rPr>
          <w:color w:val="000000"/>
          <w:sz w:val="18"/>
        </w:rPr>
        <w:t xml:space="preserve">. </w:t>
      </w:r>
      <w:r>
        <w:rPr>
          <w:rFonts w:ascii="Times New Roman Bold" w:hAnsi="Times New Roman Bold"/>
          <w:color w:val="000000"/>
          <w:spacing w:val="-1"/>
          <w:sz w:val="18"/>
        </w:rPr>
        <w:t>[**17]</w:t>
      </w:r>
      <w:r>
        <w:rPr>
          <w:color w:val="000000"/>
          <w:spacing w:val="-1"/>
          <w:sz w:val="18"/>
        </w:rPr>
        <w:t xml:space="preserve"> However, in our view </w:t>
      </w:r>
    </w:p>
    <w:p w:rsidR="00491B30" w:rsidRDefault="00BA5DC6">
      <w:pPr>
        <w:spacing w:before="2" w:line="198" w:lineRule="exact"/>
        <w:ind w:left="898"/>
        <w:rPr>
          <w:color w:val="000000"/>
          <w:sz w:val="18"/>
        </w:rPr>
      </w:pPr>
      <w:r>
        <w:rPr>
          <w:color w:val="000000"/>
          <w:sz w:val="18"/>
        </w:rPr>
        <w:t>the</w:t>
      </w:r>
      <w:r>
        <w:rPr>
          <w:rFonts w:ascii="Times New Roman Italic" w:hAnsi="Times New Roman Italic"/>
          <w:color w:val="000000"/>
          <w:sz w:val="18"/>
        </w:rPr>
        <w:t xml:space="preserve"> Greene</w:t>
      </w:r>
      <w:r>
        <w:rPr>
          <w:color w:val="000000"/>
          <w:sz w:val="18"/>
        </w:rPr>
        <w:t xml:space="preserve"> approach merely adds another layer of complexity to the</w:t>
      </w:r>
      <w:r>
        <w:rPr>
          <w:rFonts w:ascii="Times New Roman Italic" w:hAnsi="Times New Roman Italic"/>
          <w:color w:val="000000"/>
          <w:sz w:val="18"/>
        </w:rPr>
        <w:t xml:space="preserve"> Pendergrass</w:t>
      </w:r>
      <w:r>
        <w:rPr>
          <w:color w:val="000000"/>
          <w:sz w:val="18"/>
        </w:rPr>
        <w:t xml:space="preserve"> rule, and depends on an artificial distinction. </w:t>
      </w:r>
    </w:p>
    <w:p w:rsidR="00491B30" w:rsidRDefault="00BA5DC6">
      <w:pPr>
        <w:spacing w:before="1" w:line="200" w:lineRule="exact"/>
        <w:ind w:left="898" w:right="673"/>
        <w:jc w:val="both"/>
        <w:rPr>
          <w:color w:val="0000FF"/>
          <w:sz w:val="18"/>
          <w:u w:val="single"/>
        </w:rPr>
      </w:pPr>
      <w:r>
        <w:rPr>
          <w:color w:val="000000"/>
          <w:spacing w:val="-2"/>
          <w:sz w:val="18"/>
        </w:rPr>
        <w:t>In</w:t>
      </w:r>
      <w:r>
        <w:rPr>
          <w:rFonts w:ascii="Times New Roman Italic" w:hAnsi="Times New Roman Italic"/>
          <w:color w:val="000000"/>
          <w:spacing w:val="-2"/>
          <w:sz w:val="18"/>
        </w:rPr>
        <w:t xml:space="preserve"> Greene</w:t>
      </w:r>
      <w:r>
        <w:rPr>
          <w:color w:val="000000"/>
          <w:spacing w:val="-2"/>
          <w:sz w:val="18"/>
        </w:rPr>
        <w:t>, a borrower was allegedly assured she was guaranteeing only certain indebtedness, an assurance that was both a false prom-</w:t>
      </w:r>
      <w:r>
        <w:rPr>
          <w:color w:val="000000"/>
          <w:spacing w:val="-2"/>
          <w:sz w:val="18"/>
        </w:rPr>
        <w:br/>
      </w:r>
      <w:r>
        <w:rPr>
          <w:color w:val="000000"/>
          <w:sz w:val="18"/>
        </w:rPr>
        <w:t>ise and a misrepresentation of the contract terms. (</w:t>
      </w:r>
      <w:r>
        <w:rPr>
          <w:rFonts w:ascii="Times New Roman Italic" w:hAnsi="Times New Roman Italic"/>
          <w:color w:val="0000FF"/>
          <w:sz w:val="18"/>
          <w:u w:val="single"/>
        </w:rPr>
        <w:t xml:space="preserve"> Greene, </w:t>
      </w:r>
      <w:r>
        <w:rPr>
          <w:rFonts w:ascii="Times New Roman Italic" w:hAnsi="Times New Roman Italic"/>
          <w:color w:val="0000FF"/>
          <w:sz w:val="18"/>
          <w:u w:val="single"/>
        </w:rPr>
        <w:t>supra</w:t>
      </w:r>
      <w:r>
        <w:rPr>
          <w:color w:val="0000FF"/>
          <w:sz w:val="18"/>
          <w:u w:val="single"/>
        </w:rPr>
        <w:t xml:space="preserve"> , 110 Cal.App.4th at pp. 382-383</w:t>
      </w:r>
      <w:r>
        <w:rPr>
          <w:color w:val="000000"/>
          <w:sz w:val="18"/>
        </w:rPr>
        <w:t>.) The</w:t>
      </w:r>
      <w:r>
        <w:rPr>
          <w:rFonts w:ascii="Times New Roman Italic" w:hAnsi="Times New Roman Italic"/>
          <w:color w:val="000000"/>
          <w:sz w:val="18"/>
        </w:rPr>
        <w:t xml:space="preserve"> Greene</w:t>
      </w:r>
      <w:r>
        <w:rPr>
          <w:color w:val="000000"/>
          <w:sz w:val="18"/>
        </w:rPr>
        <w:t xml:space="preserve"> court conceded </w:t>
      </w:r>
      <w:r>
        <w:rPr>
          <w:color w:val="000000"/>
          <w:sz w:val="18"/>
        </w:rPr>
        <w:br/>
      </w:r>
      <w:r>
        <w:rPr>
          <w:color w:val="000000"/>
          <w:w w:val="102"/>
          <w:sz w:val="18"/>
        </w:rPr>
        <w:t>that evidence of the promise would have been inadmissible had it not been made when the contract was executed. (</w:t>
      </w:r>
      <w:r>
        <w:rPr>
          <w:rFonts w:ascii="Times New Roman Italic" w:hAnsi="Times New Roman Italic"/>
          <w:color w:val="0000FF"/>
          <w:w w:val="102"/>
          <w:sz w:val="18"/>
          <w:u w:val="single"/>
        </w:rPr>
        <w:t xml:space="preserve"> Id.</w:t>
      </w:r>
      <w:r>
        <w:rPr>
          <w:color w:val="0000FF"/>
          <w:w w:val="102"/>
          <w:sz w:val="18"/>
          <w:u w:val="single"/>
        </w:rPr>
        <w:t xml:space="preserve">  at p. 394</w:t>
      </w:r>
      <w:r>
        <w:rPr>
          <w:color w:val="000000"/>
          <w:w w:val="102"/>
          <w:sz w:val="18"/>
        </w:rPr>
        <w:t xml:space="preserve">.) </w:t>
      </w:r>
      <w:r>
        <w:rPr>
          <w:color w:val="000000"/>
          <w:w w:val="102"/>
          <w:sz w:val="18"/>
        </w:rPr>
        <w:br/>
      </w:r>
      <w:r>
        <w:rPr>
          <w:color w:val="000000"/>
          <w:sz w:val="18"/>
        </w:rPr>
        <w:t>In this case, the</w:t>
      </w:r>
      <w:r>
        <w:rPr>
          <w:rFonts w:ascii="Times New Roman Italic" w:hAnsi="Times New Roman Italic"/>
          <w:color w:val="000000"/>
          <w:sz w:val="18"/>
        </w:rPr>
        <w:t xml:space="preserve"> Greene</w:t>
      </w:r>
      <w:r>
        <w:rPr>
          <w:color w:val="000000"/>
          <w:sz w:val="18"/>
        </w:rPr>
        <w:t xml:space="preserve"> rule would exclude Ylarregui’s alleged false promises in advance of the parties’ agreement, but allow evi-</w:t>
      </w:r>
      <w:r>
        <w:rPr>
          <w:color w:val="000000"/>
          <w:sz w:val="18"/>
        </w:rPr>
        <w:br/>
        <w:t>dence of the same promises at the signing. For another example of an elusive distinction between false promises and factual mis-</w:t>
      </w:r>
      <w:r>
        <w:rPr>
          <w:color w:val="000000"/>
          <w:sz w:val="18"/>
        </w:rPr>
        <w:br/>
        <w:t>representations, se</w:t>
      </w:r>
      <w:r>
        <w:rPr>
          <w:color w:val="000000"/>
          <w:sz w:val="18"/>
        </w:rPr>
        <w:t>e</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Continental Airlines, Inc. v. McDonnell Douglas Corp.</w:t>
      </w:r>
      <w:r>
        <w:rPr>
          <w:color w:val="0000FF"/>
          <w:sz w:val="18"/>
          <w:u w:val="single"/>
        </w:rPr>
        <w:t xml:space="preserve">  (1989) 216 Cal. App. 3d 388, 419-423 [264 Cal. </w:t>
      </w:r>
    </w:p>
    <w:p w:rsidR="00491B30" w:rsidRDefault="00BA5DC6">
      <w:pPr>
        <w:spacing w:before="2" w:line="198" w:lineRule="exact"/>
        <w:ind w:left="898"/>
        <w:rPr>
          <w:color w:val="000000"/>
          <w:spacing w:val="-2"/>
          <w:sz w:val="18"/>
        </w:rPr>
      </w:pPr>
      <w:r>
        <w:rPr>
          <w:color w:val="0000FF"/>
          <w:spacing w:val="-2"/>
          <w:sz w:val="18"/>
          <w:u w:val="single"/>
        </w:rPr>
        <w:t>Rptr. 779]</w:t>
      </w:r>
      <w:r>
        <w:rPr>
          <w:color w:val="000000"/>
          <w:spacing w:val="-2"/>
          <w:sz w:val="18"/>
        </w:rPr>
        <w:t xml:space="preserve">. </w:t>
      </w:r>
    </w:p>
    <w:p w:rsidR="00491B30" w:rsidRDefault="00491B30">
      <w:pPr>
        <w:spacing w:line="230" w:lineRule="exact"/>
        <w:ind w:left="5183"/>
        <w:rPr>
          <w:color w:val="000000"/>
          <w:spacing w:val="-2"/>
          <w:sz w:val="18"/>
        </w:rPr>
      </w:pPr>
    </w:p>
    <w:p w:rsidR="00491B30" w:rsidRDefault="00BA5DC6">
      <w:pPr>
        <w:spacing w:before="66" w:line="230" w:lineRule="exact"/>
        <w:ind w:left="5183"/>
        <w:rPr>
          <w:color w:val="000000"/>
          <w:spacing w:val="-1"/>
          <w:sz w:val="20"/>
        </w:rPr>
      </w:pPr>
      <w:r>
        <w:rPr>
          <w:color w:val="000000"/>
          <w:spacing w:val="-1"/>
          <w:sz w:val="20"/>
        </w:rPr>
        <w:t xml:space="preserve">Charles Cox </w:t>
      </w:r>
      <w:r>
        <w:rPr>
          <w:color w:val="000000"/>
          <w:spacing w:val="-1"/>
          <w:sz w:val="20"/>
        </w:rPr>
        <w:pict>
          <v:line id="_x0000_s1102" style="position:absolute;left:0;text-align:left;z-index:-251580416;mso-position-horizontal-relative:page;mso-position-vertical-relative:page" from="66.5pt,536.2pt" to="545.45pt,536.2pt" o:allowincell="f" strokeweight="1.5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33"/>
        <w:rPr>
          <w:color w:val="000000"/>
          <w:sz w:val="20"/>
        </w:rPr>
      </w:pPr>
      <w:bookmarkStart w:id="10" w:name="Pg11"/>
      <w:bookmarkEnd w:id="10"/>
      <w:r>
        <w:rPr>
          <w:color w:val="000000"/>
          <w:sz w:val="20"/>
        </w:rPr>
        <w:lastRenderedPageBreak/>
        <w:t>55 Cal. 4th 1169, *1179; 2013 Cal. LEXIS 253, **20</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59" w:lineRule="exact"/>
        <w:ind w:left="898"/>
        <w:rPr>
          <w:color w:val="000000"/>
          <w:sz w:val="20"/>
        </w:rPr>
      </w:pPr>
    </w:p>
    <w:p w:rsidR="00491B30" w:rsidRDefault="00491B30">
      <w:pPr>
        <w:spacing w:line="259" w:lineRule="exact"/>
        <w:ind w:left="898"/>
        <w:rPr>
          <w:color w:val="000000"/>
          <w:sz w:val="20"/>
        </w:rPr>
      </w:pPr>
    </w:p>
    <w:p w:rsidR="00491B30" w:rsidRDefault="00BA5DC6">
      <w:pPr>
        <w:spacing w:before="22" w:line="259" w:lineRule="exact"/>
        <w:ind w:left="898"/>
        <w:rPr>
          <w:color w:val="000000"/>
          <w:spacing w:val="-1"/>
        </w:rPr>
      </w:pPr>
      <w:r>
        <w:rPr>
          <w:color w:val="000000"/>
        </w:rPr>
        <w:t>Rep.,</w:t>
      </w:r>
      <w:r>
        <w:rPr>
          <w:rFonts w:ascii="Times New Roman Italic" w:hAnsi="Times New Roman Italic"/>
          <w:color w:val="000000"/>
        </w:rPr>
        <w:t xml:space="preserve"> supra</w:t>
      </w:r>
      <w:r>
        <w:rPr>
          <w:color w:val="000000"/>
        </w:rPr>
        <w:t xml:space="preserve">, pp. 147-148.) The commission </w:t>
      </w:r>
      <w:r>
        <w:rPr>
          <w:color w:val="000000"/>
        </w:rPr>
        <w:br/>
      </w:r>
      <w:r>
        <w:rPr>
          <w:color w:val="000000"/>
          <w:spacing w:val="-2"/>
        </w:rPr>
        <w:t>identified three opinions for consideration in de-</w:t>
      </w:r>
      <w:r>
        <w:rPr>
          <w:color w:val="000000"/>
          <w:spacing w:val="-2"/>
        </w:rPr>
        <w:br/>
      </w:r>
      <w:r>
        <w:rPr>
          <w:color w:val="000000"/>
          <w:w w:val="101"/>
        </w:rPr>
        <w:t>signing revisions to the statute. (</w:t>
      </w:r>
      <w:r>
        <w:rPr>
          <w:rFonts w:ascii="Times New Roman Italic" w:hAnsi="Times New Roman Italic"/>
          <w:color w:val="000000"/>
          <w:w w:val="101"/>
        </w:rPr>
        <w:t>Id.</w:t>
      </w:r>
      <w:r>
        <w:rPr>
          <w:color w:val="000000"/>
          <w:w w:val="101"/>
        </w:rPr>
        <w:t xml:space="preserve"> at p. 148, </w:t>
      </w:r>
      <w:r>
        <w:rPr>
          <w:color w:val="000000"/>
          <w:w w:val="101"/>
        </w:rPr>
        <w:br/>
      </w:r>
      <w:r>
        <w:rPr>
          <w:color w:val="000000"/>
          <w:w w:val="102"/>
        </w:rPr>
        <w:t>fns. 6 &amp; 8, citing</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Delta Dynamics, Inc. v. Ari-</w:t>
      </w:r>
      <w:r>
        <w:rPr>
          <w:rFonts w:ascii="Times New Roman Italic" w:hAnsi="Times New Roman Italic"/>
          <w:color w:val="0000FF"/>
          <w:w w:val="102"/>
          <w:u w:val="single"/>
        </w:rPr>
        <w:br/>
      </w:r>
      <w:r>
        <w:rPr>
          <w:rFonts w:ascii="Times New Roman Italic" w:hAnsi="Times New Roman Italic"/>
          <w:color w:val="0000FF"/>
          <w:u w:val="single"/>
        </w:rPr>
        <w:t>oto</w:t>
      </w:r>
      <w:r>
        <w:rPr>
          <w:color w:val="0000FF"/>
          <w:u w:val="single"/>
        </w:rPr>
        <w:t xml:space="preserve">  (1968) 69 Cal.2d 525 [72 Cal. Rptr. 785, </w:t>
      </w:r>
      <w:r>
        <w:rPr>
          <w:color w:val="0000FF"/>
          <w:u w:val="single"/>
        </w:rPr>
        <w:br/>
      </w:r>
      <w:r>
        <w:rPr>
          <w:color w:val="0000FF"/>
          <w:w w:val="101"/>
          <w:u w:val="single"/>
        </w:rPr>
        <w:t>446 P.2d 785]</w:t>
      </w:r>
      <w:r>
        <w:rPr>
          <w:color w:val="000000"/>
          <w:w w:val="101"/>
        </w:rPr>
        <w:t>,</w:t>
      </w:r>
      <w:r>
        <w:rPr>
          <w:rFonts w:ascii="Times New Roman Italic" w:hAnsi="Times New Roman Italic"/>
          <w:color w:val="0000FF"/>
          <w:w w:val="101"/>
        </w:rPr>
        <w:t xml:space="preserve"> </w:t>
      </w:r>
      <w:r>
        <w:rPr>
          <w:rFonts w:ascii="Times New Roman Italic" w:hAnsi="Times New Roman Italic"/>
          <w:color w:val="0000FF"/>
          <w:w w:val="101"/>
          <w:u w:val="single"/>
        </w:rPr>
        <w:t xml:space="preserve"> Pacific Gas &amp; E. Co. v. G. W. </w:t>
      </w:r>
      <w:r>
        <w:rPr>
          <w:rFonts w:ascii="Times New Roman Italic" w:hAnsi="Times New Roman Italic"/>
          <w:color w:val="0000FF"/>
          <w:w w:val="101"/>
          <w:u w:val="single"/>
        </w:rPr>
        <w:br/>
      </w:r>
      <w:r>
        <w:rPr>
          <w:rFonts w:ascii="Times New Roman Italic" w:hAnsi="Times New Roman Italic"/>
          <w:color w:val="0000FF"/>
          <w:w w:val="102"/>
          <w:u w:val="single"/>
        </w:rPr>
        <w:t>Thomas Drayage etc. Co.</w:t>
      </w:r>
      <w:r>
        <w:rPr>
          <w:color w:val="0000FF"/>
          <w:w w:val="102"/>
          <w:u w:val="single"/>
        </w:rPr>
        <w:t xml:space="preserve">  (1968) 69 Cal.2d 33 </w:t>
      </w:r>
      <w:r>
        <w:rPr>
          <w:color w:val="0000FF"/>
          <w:w w:val="102"/>
          <w:u w:val="single"/>
        </w:rPr>
        <w:br/>
      </w:r>
      <w:r>
        <w:rPr>
          <w:color w:val="0000FF"/>
          <w:spacing w:val="-2"/>
          <w:u w:val="single"/>
        </w:rPr>
        <w:t>[69 Cal. Rptr. 561, 442 P.2d 641]</w:t>
      </w:r>
      <w:r>
        <w:rPr>
          <w:color w:val="000000"/>
          <w:spacing w:val="-2"/>
        </w:rPr>
        <w:t>, and</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Master-</w:t>
      </w:r>
      <w:r>
        <w:rPr>
          <w:rFonts w:ascii="Times New Roman Italic" w:hAnsi="Times New Roman Italic"/>
          <w:color w:val="0000FF"/>
          <w:spacing w:val="-2"/>
          <w:u w:val="single"/>
        </w:rPr>
        <w:br/>
      </w:r>
      <w:r>
        <w:rPr>
          <w:rFonts w:ascii="Times New Roman Italic" w:hAnsi="Times New Roman Italic"/>
          <w:color w:val="0000FF"/>
          <w:u w:val="single"/>
        </w:rPr>
        <w:t>son v. Sine</w:t>
      </w:r>
      <w:r>
        <w:rPr>
          <w:color w:val="0000FF"/>
          <w:u w:val="single"/>
        </w:rPr>
        <w:t xml:space="preserve">  (1968) 68 Cal.2d 222 [65 Cal. Rptr. </w:t>
      </w:r>
      <w:r>
        <w:rPr>
          <w:color w:val="0000FF"/>
          <w:u w:val="single"/>
        </w:rPr>
        <w:br/>
      </w:r>
      <w:r>
        <w:rPr>
          <w:color w:val="0000FF"/>
          <w:spacing w:val="-1"/>
          <w:u w:val="single"/>
        </w:rPr>
        <w:t>545, 436 P.2d 561]</w:t>
      </w:r>
      <w:r>
        <w:rPr>
          <w:color w:val="000000"/>
          <w:spacing w:val="-1"/>
        </w:rPr>
        <w:t>.)</w:t>
      </w:r>
    </w:p>
    <w:p w:rsidR="00491B30" w:rsidRDefault="00BA5DC6">
      <w:pPr>
        <w:spacing w:before="200" w:line="259" w:lineRule="exact"/>
        <w:ind w:left="898"/>
        <w:rPr>
          <w:color w:val="000000"/>
          <w:w w:val="101"/>
          <w:vertAlign w:val="superscript"/>
        </w:rPr>
      </w:pPr>
      <w:r>
        <w:rPr>
          <w:color w:val="000000"/>
          <w:spacing w:val="-3"/>
        </w:rPr>
        <w:t>Conspicuously omitted was any mention of</w:t>
      </w:r>
      <w:r>
        <w:rPr>
          <w:rFonts w:ascii="Times New Roman Italic" w:hAnsi="Times New Roman Italic"/>
          <w:color w:val="000000"/>
          <w:spacing w:val="-3"/>
        </w:rPr>
        <w:t xml:space="preserve"> Pen-</w:t>
      </w:r>
      <w:r>
        <w:rPr>
          <w:rFonts w:ascii="Times New Roman Italic" w:hAnsi="Times New Roman Italic"/>
          <w:color w:val="000000"/>
          <w:spacing w:val="-3"/>
        </w:rPr>
        <w:br/>
      </w:r>
      <w:r>
        <w:rPr>
          <w:rFonts w:ascii="Times New Roman Italic" w:hAnsi="Times New Roman Italic"/>
          <w:color w:val="000000"/>
          <w:spacing w:val="-1"/>
        </w:rPr>
        <w:t>dergrass</w:t>
      </w:r>
      <w:r>
        <w:rPr>
          <w:color w:val="000000"/>
          <w:spacing w:val="-1"/>
        </w:rPr>
        <w:t xml:space="preserve"> and its nonstatutory limitation on the </w:t>
      </w:r>
      <w:r>
        <w:rPr>
          <w:color w:val="000000"/>
          <w:spacing w:val="-1"/>
        </w:rPr>
        <w:br/>
      </w:r>
      <w:r>
        <w:rPr>
          <w:color w:val="000000"/>
          <w:spacing w:val="-4"/>
        </w:rPr>
        <w:t xml:space="preserve">fraud exception. The commission’s discussion of </w:t>
      </w:r>
      <w:r>
        <w:rPr>
          <w:color w:val="000000"/>
          <w:spacing w:val="-4"/>
        </w:rPr>
        <w:br/>
      </w:r>
      <w:r>
        <w:rPr>
          <w:color w:val="000000"/>
          <w:spacing w:val="-2"/>
        </w:rPr>
        <w:t>the parol evidence rule set out the fraud excep-</w:t>
      </w:r>
      <w:r>
        <w:rPr>
          <w:color w:val="000000"/>
          <w:spacing w:val="-2"/>
        </w:rPr>
        <w:br/>
      </w:r>
      <w:r>
        <w:rPr>
          <w:color w:val="000000"/>
          <w:spacing w:val="-1"/>
        </w:rPr>
        <w:t>tion without restriction, citing</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Coast Bank v. </w:t>
      </w:r>
      <w:r>
        <w:rPr>
          <w:rFonts w:ascii="Times New Roman Italic" w:hAnsi="Times New Roman Italic"/>
          <w:color w:val="0000FF"/>
          <w:spacing w:val="-1"/>
          <w:u w:val="single"/>
        </w:rPr>
        <w:br/>
        <w:t>Holmes, supra</w:t>
      </w:r>
      <w:r>
        <w:rPr>
          <w:color w:val="0000FF"/>
          <w:spacing w:val="-1"/>
          <w:u w:val="single"/>
        </w:rPr>
        <w:t xml:space="preserve"> , 19 Cal. App. 3d 581</w:t>
      </w:r>
      <w:r>
        <w:rPr>
          <w:color w:val="000000"/>
          <w:spacing w:val="-1"/>
        </w:rPr>
        <w:t xml:space="preserve">, which was </w:t>
      </w:r>
      <w:r>
        <w:rPr>
          <w:color w:val="000000"/>
          <w:spacing w:val="-1"/>
        </w:rPr>
        <w:br/>
        <w:t>strongly critical of</w:t>
      </w:r>
      <w:r>
        <w:rPr>
          <w:rFonts w:ascii="Times New Roman Italic" w:hAnsi="Times New Roman Italic"/>
          <w:color w:val="000000"/>
          <w:spacing w:val="-1"/>
        </w:rPr>
        <w:t xml:space="preserve"> Pendergrass</w:t>
      </w:r>
      <w:r>
        <w:rPr>
          <w:color w:val="000000"/>
          <w:spacing w:val="-1"/>
        </w:rPr>
        <w:t>. (Recommen-</w:t>
      </w:r>
      <w:r>
        <w:rPr>
          <w:color w:val="000000"/>
          <w:spacing w:val="-1"/>
        </w:rPr>
        <w:br/>
      </w:r>
      <w:r>
        <w:rPr>
          <w:color w:val="000000"/>
        </w:rPr>
        <w:t xml:space="preserve">dation Relating to Parol Evidence Rule, 14 Cal. </w:t>
      </w:r>
      <w:r>
        <w:rPr>
          <w:color w:val="000000"/>
        </w:rPr>
        <w:br/>
      </w:r>
      <w:r>
        <w:rPr>
          <w:color w:val="000000"/>
          <w:w w:val="101"/>
        </w:rPr>
        <w:t>Law Revision Com. Rep.,</w:t>
      </w:r>
      <w:r>
        <w:rPr>
          <w:rFonts w:ascii="Times New Roman Italic" w:hAnsi="Times New Roman Italic"/>
          <w:color w:val="000000"/>
          <w:w w:val="101"/>
        </w:rPr>
        <w:t xml:space="preserve"> supra</w:t>
      </w:r>
      <w:r>
        <w:rPr>
          <w:color w:val="000000"/>
          <w:w w:val="101"/>
        </w:rPr>
        <w:t>, p. 148.)</w:t>
      </w:r>
      <w:r>
        <w:rPr>
          <w:color w:val="000000"/>
          <w:w w:val="101"/>
          <w:vertAlign w:val="superscript"/>
        </w:rPr>
        <w:t xml:space="preserve"> 8</w:t>
      </w:r>
    </w:p>
    <w:p w:rsidR="00491B30" w:rsidRDefault="00BA5DC6">
      <w:pPr>
        <w:spacing w:line="259" w:lineRule="exact"/>
        <w:ind w:left="898" w:right="44"/>
        <w:jc w:val="both"/>
        <w:rPr>
          <w:color w:val="000000"/>
        </w:rPr>
      </w:pPr>
      <w:r>
        <w:rPr>
          <w:color w:val="000000"/>
          <w:spacing w:val="-1"/>
        </w:rPr>
        <w:t>The commission’s proposed revisions were ad-</w:t>
      </w:r>
      <w:r>
        <w:rPr>
          <w:color w:val="000000"/>
          <w:spacing w:val="-1"/>
        </w:rPr>
        <w:br/>
      </w:r>
      <w:r>
        <w:rPr>
          <w:color w:val="000000"/>
        </w:rPr>
        <w:t>opted by the Legislature. They included no</w:t>
      </w:r>
    </w:p>
    <w:p w:rsidR="00491B30" w:rsidRDefault="00BA5DC6">
      <w:pPr>
        <w:spacing w:line="259" w:lineRule="exact"/>
        <w:ind w:left="898"/>
        <w:jc w:val="both"/>
        <w:rPr>
          <w:color w:val="000000"/>
        </w:rPr>
      </w:pPr>
      <w:r>
        <w:rPr>
          <w:color w:val="000000"/>
          <w:spacing w:val="-2"/>
        </w:rPr>
        <w:t>substantive changes to the statutory language al-</w:t>
      </w:r>
      <w:r>
        <w:rPr>
          <w:color w:val="000000"/>
          <w:spacing w:val="-2"/>
        </w:rPr>
        <w:br/>
      </w:r>
      <w:r>
        <w:rPr>
          <w:color w:val="000000"/>
        </w:rPr>
        <w:t>lowing evidence that goes to the validity of</w:t>
      </w:r>
    </w:p>
    <w:p w:rsidR="00491B30" w:rsidRDefault="00BA5DC6">
      <w:pPr>
        <w:spacing w:before="1" w:line="259" w:lineRule="exact"/>
        <w:ind w:left="898"/>
        <w:jc w:val="both"/>
        <w:rPr>
          <w:color w:val="000000"/>
          <w:w w:val="102"/>
        </w:rPr>
      </w:pPr>
      <w:r>
        <w:rPr>
          <w:color w:val="000000"/>
        </w:rPr>
        <w:t>an agreement, and evidence of fraud in particu-</w:t>
      </w:r>
      <w:r>
        <w:rPr>
          <w:color w:val="000000"/>
        </w:rPr>
        <w:br/>
      </w:r>
      <w:r>
        <w:rPr>
          <w:color w:val="000000"/>
          <w:spacing w:val="-1"/>
        </w:rPr>
        <w:t>lar. (Recommendation Relating to Parol Evi-</w:t>
      </w:r>
      <w:r>
        <w:rPr>
          <w:color w:val="000000"/>
          <w:spacing w:val="-1"/>
        </w:rPr>
        <w:br/>
      </w:r>
      <w:r>
        <w:rPr>
          <w:color w:val="000000"/>
          <w:w w:val="101"/>
        </w:rPr>
        <w:t xml:space="preserve">dence Rule, at p. 152; see Stats. </w:t>
      </w:r>
      <w:r>
        <w:rPr>
          <w:rFonts w:ascii="Times New Roman Bold" w:hAnsi="Times New Roman Bold"/>
          <w:color w:val="000000"/>
          <w:spacing w:val="-1"/>
        </w:rPr>
        <w:t>[**19]</w:t>
      </w:r>
      <w:r>
        <w:rPr>
          <w:color w:val="000000"/>
          <w:spacing w:val="-1"/>
        </w:rPr>
        <w:t xml:space="preserve"> 1978, </w:t>
      </w:r>
      <w:r>
        <w:rPr>
          <w:color w:val="000000"/>
          <w:w w:val="102"/>
        </w:rPr>
        <w:t>ch. 150, § 1, pp. 374-375.)</w:t>
      </w:r>
    </w:p>
    <w:p w:rsidR="00491B30" w:rsidRDefault="00BA5DC6">
      <w:pPr>
        <w:spacing w:before="200" w:line="259" w:lineRule="exact"/>
        <w:ind w:left="898" w:right="20"/>
        <w:jc w:val="both"/>
        <w:rPr>
          <w:color w:val="000000"/>
        </w:rPr>
      </w:pPr>
      <w:r>
        <w:rPr>
          <w:color w:val="000000"/>
        </w:rPr>
        <w:t>On the other hand,</w:t>
      </w:r>
      <w:r>
        <w:rPr>
          <w:rFonts w:ascii="Times New Roman Italic" w:hAnsi="Times New Roman Italic"/>
          <w:color w:val="000000"/>
        </w:rPr>
        <w:t xml:space="preserve"> Pendergrass</w:t>
      </w:r>
      <w:r>
        <w:rPr>
          <w:color w:val="000000"/>
        </w:rPr>
        <w:t xml:space="preserve"> has had its de-</w:t>
      </w:r>
      <w:r>
        <w:rPr>
          <w:color w:val="000000"/>
        </w:rPr>
        <w:br/>
        <w:t>fenders. Its limitation on evidence of fraud</w:t>
      </w:r>
    </w:p>
    <w:p w:rsidR="00491B30" w:rsidRDefault="00BA5DC6">
      <w:pPr>
        <w:spacing w:before="1" w:line="259" w:lineRule="exact"/>
        <w:ind w:left="898"/>
        <w:jc w:val="both"/>
        <w:rPr>
          <w:color w:val="0000FF"/>
          <w:u w:val="single"/>
        </w:rPr>
      </w:pPr>
      <w:r>
        <w:rPr>
          <w:color w:val="000000"/>
          <w:spacing w:val="-3"/>
        </w:rPr>
        <w:t>has been described as “an entirely defensible de-</w:t>
      </w:r>
      <w:r>
        <w:rPr>
          <w:color w:val="000000"/>
          <w:spacing w:val="-3"/>
        </w:rPr>
        <w:br/>
      </w:r>
      <w:r>
        <w:rPr>
          <w:color w:val="000000"/>
          <w:spacing w:val="-4"/>
        </w:rPr>
        <w:t>cision favoring the policy considerations under-</w:t>
      </w:r>
      <w:r>
        <w:rPr>
          <w:color w:val="000000"/>
          <w:spacing w:val="-4"/>
        </w:rPr>
        <w:br/>
      </w:r>
      <w:r>
        <w:rPr>
          <w:color w:val="000000"/>
        </w:rPr>
        <w:t>lying the parol evidence rule over those sup-</w:t>
      </w:r>
      <w:r>
        <w:rPr>
          <w:color w:val="000000"/>
        </w:rPr>
        <w:br/>
      </w:r>
      <w:r>
        <w:rPr>
          <w:color w:val="000000"/>
          <w:spacing w:val="-1"/>
        </w:rPr>
        <w:t>porting a fraud cause of action.” (</w:t>
      </w:r>
      <w:r>
        <w:rPr>
          <w:rFonts w:ascii="Times New Roman Italic" w:hAnsi="Times New Roman Italic"/>
          <w:color w:val="0000FF"/>
          <w:spacing w:val="-1"/>
          <w:u w:val="single"/>
        </w:rPr>
        <w:t xml:space="preserve"> Price v. Well</w:t>
      </w:r>
      <w:r>
        <w:rPr>
          <w:rFonts w:ascii="Times New Roman Italic" w:hAnsi="Times New Roman Italic"/>
          <w:color w:val="0000FF"/>
          <w:spacing w:val="-1"/>
          <w:u w:val="single"/>
        </w:rPr>
        <w:t xml:space="preserve">s </w:t>
      </w:r>
      <w:r>
        <w:rPr>
          <w:rFonts w:ascii="Times New Roman Italic" w:hAnsi="Times New Roman Italic"/>
          <w:color w:val="0000FF"/>
          <w:spacing w:val="-1"/>
          <w:u w:val="single"/>
        </w:rPr>
        <w:br/>
      </w:r>
      <w:r>
        <w:rPr>
          <w:rFonts w:ascii="Times New Roman Italic" w:hAnsi="Times New Roman Italic"/>
          <w:color w:val="0000FF"/>
          <w:u w:val="single"/>
        </w:rPr>
        <w:t>Fargo Bank, supra</w:t>
      </w:r>
      <w:r>
        <w:rPr>
          <w:color w:val="0000FF"/>
          <w:u w:val="single"/>
        </w:rPr>
        <w:t xml:space="preserve"> , 213 Cal. App. 3d at p.</w:t>
      </w:r>
    </w:p>
    <w:p w:rsidR="00491B30" w:rsidRDefault="00BA5DC6">
      <w:pPr>
        <w:spacing w:line="259" w:lineRule="exact"/>
        <w:ind w:left="898" w:right="100"/>
        <w:jc w:val="both"/>
        <w:rPr>
          <w:color w:val="000000"/>
        </w:rPr>
      </w:pPr>
      <w:r>
        <w:rPr>
          <w:color w:val="0000FF"/>
          <w:spacing w:val="-1"/>
          <w:u w:val="single"/>
        </w:rPr>
        <w:t>485</w:t>
      </w:r>
      <w:r>
        <w:rPr>
          <w:color w:val="000000"/>
          <w:spacing w:val="-1"/>
        </w:rPr>
        <w:t>; accord,</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Duncan v. The McCaffrey Group, </w:t>
      </w:r>
      <w:r>
        <w:rPr>
          <w:rFonts w:ascii="Times New Roman Italic" w:hAnsi="Times New Roman Italic"/>
          <w:color w:val="0000FF"/>
          <w:u w:val="single"/>
        </w:rPr>
        <w:t>Inc., supra</w:t>
      </w:r>
      <w:r>
        <w:rPr>
          <w:color w:val="0000FF"/>
          <w:u w:val="single"/>
        </w:rPr>
        <w:t xml:space="preserve"> , 200 Cal.App.4th at p. 369</w:t>
      </w:r>
      <w:r>
        <w:rPr>
          <w:color w:val="000000"/>
        </w:rPr>
        <w:t>;</w:t>
      </w:r>
    </w:p>
    <w:p w:rsidR="00491B30" w:rsidRDefault="00BA5DC6">
      <w:pPr>
        <w:spacing w:before="1" w:line="259" w:lineRule="exact"/>
        <w:ind w:left="898" w:right="3"/>
        <w:rPr>
          <w:color w:val="000000"/>
        </w:rPr>
      </w:pPr>
      <w:r>
        <w:rPr>
          <w:rFonts w:ascii="Times New Roman Italic" w:hAnsi="Times New Roman Italic"/>
          <w:color w:val="0000FF"/>
          <w:u w:val="single"/>
        </w:rPr>
        <w:t xml:space="preserve"> Banco Do Brasil, S.A. v. Latian, Inc.</w:t>
      </w:r>
      <w:r>
        <w:rPr>
          <w:color w:val="0000FF"/>
          <w:u w:val="single"/>
        </w:rPr>
        <w:t xml:space="preserve">  (1991) </w:t>
      </w:r>
      <w:r>
        <w:rPr>
          <w:color w:val="0000FF"/>
          <w:u w:val="single"/>
        </w:rPr>
        <w:br/>
      </w:r>
      <w:r>
        <w:rPr>
          <w:color w:val="0000FF"/>
          <w:w w:val="104"/>
          <w:u w:val="single"/>
        </w:rPr>
        <w:t xml:space="preserve">234 Cal. App. 3d 973, 1010 [285 Cal. Rptr. </w:t>
      </w:r>
      <w:r>
        <w:rPr>
          <w:color w:val="0000FF"/>
          <w:w w:val="104"/>
          <w:u w:val="single"/>
        </w:rPr>
        <w:br/>
      </w:r>
      <w:r>
        <w:rPr>
          <w:color w:val="0000FF"/>
          <w:u w:val="single"/>
        </w:rPr>
        <w:t>870]</w:t>
      </w:r>
      <w:r>
        <w:rPr>
          <w:color w:val="000000"/>
        </w:rPr>
        <w:t>.) The</w:t>
      </w:r>
      <w:r>
        <w:rPr>
          <w:rFonts w:ascii="Times New Roman Italic" w:hAnsi="Times New Roman Italic"/>
          <w:color w:val="000000"/>
        </w:rPr>
        <w:t xml:space="preserve"> Price</w:t>
      </w:r>
      <w:r>
        <w:rPr>
          <w:color w:val="000000"/>
        </w:rPr>
        <w:t xml:space="preserve"> court observed that “[a] broad </w:t>
      </w:r>
      <w:r>
        <w:rPr>
          <w:color w:val="000000"/>
        </w:rPr>
        <w:br/>
        <w:t>doctrine of promissory fraud may allow par-</w:t>
      </w:r>
    </w:p>
    <w:p w:rsidR="00491B30" w:rsidRDefault="00BA5DC6">
      <w:pPr>
        <w:spacing w:before="1" w:line="259" w:lineRule="exact"/>
        <w:ind w:left="898"/>
        <w:jc w:val="both"/>
        <w:rPr>
          <w:color w:val="000000"/>
        </w:rPr>
      </w:pPr>
      <w:r>
        <w:rPr>
          <w:color w:val="000000"/>
          <w:spacing w:val="-2"/>
        </w:rPr>
        <w:t>ties to litigate disputes over the meaning of con-</w:t>
      </w:r>
      <w:r>
        <w:rPr>
          <w:color w:val="000000"/>
          <w:spacing w:val="-2"/>
        </w:rPr>
        <w:br/>
      </w:r>
      <w:r>
        <w:rPr>
          <w:color w:val="000000"/>
          <w:w w:val="101"/>
        </w:rPr>
        <w:t>tract terms armed with an arsenal of tort rem-</w:t>
      </w:r>
      <w:r>
        <w:rPr>
          <w:color w:val="000000"/>
          <w:w w:val="101"/>
        </w:rPr>
        <w:br/>
      </w:r>
      <w:r>
        <w:rPr>
          <w:color w:val="000000"/>
        </w:rPr>
        <w:t>edies inappropriate to the resolution of</w:t>
      </w:r>
    </w:p>
    <w:p w:rsidR="00491B30" w:rsidRDefault="00BA5DC6">
      <w:pPr>
        <w:spacing w:before="1" w:line="259" w:lineRule="exact"/>
        <w:ind w:left="898"/>
        <w:rPr>
          <w:color w:val="000000"/>
        </w:rPr>
      </w:pPr>
      <w:r>
        <w:rPr>
          <w:color w:val="000000"/>
        </w:rPr>
        <w:t>commercial disputes.” (</w:t>
      </w:r>
      <w:r>
        <w:rPr>
          <w:rFonts w:ascii="Times New Roman Italic" w:hAnsi="Times New Roman Italic"/>
          <w:color w:val="0000FF"/>
          <w:u w:val="single"/>
        </w:rPr>
        <w:t xml:space="preserve"> Price, supra</w:t>
      </w:r>
      <w:r>
        <w:rPr>
          <w:color w:val="0000FF"/>
          <w:u w:val="single"/>
        </w:rPr>
        <w:t xml:space="preserve"> , at p. 485</w:t>
      </w:r>
      <w:r>
        <w:rPr>
          <w:color w:val="000000"/>
        </w:rPr>
        <w:t>;</w:t>
      </w:r>
    </w:p>
    <w:p w:rsidR="00491B30" w:rsidRDefault="00BA5DC6">
      <w:pPr>
        <w:spacing w:line="259" w:lineRule="exact"/>
        <w:ind w:left="5807"/>
        <w:jc w:val="both"/>
        <w:rPr>
          <w:color w:val="000000"/>
        </w:rPr>
      </w:pPr>
      <w:r>
        <w:rPr>
          <w:color w:val="000000"/>
        </w:rPr>
        <w:br w:type="column"/>
      </w:r>
    </w:p>
    <w:p w:rsidR="00491B30" w:rsidRDefault="00491B30">
      <w:pPr>
        <w:spacing w:line="259" w:lineRule="exact"/>
        <w:ind w:left="5807"/>
        <w:jc w:val="both"/>
        <w:rPr>
          <w:color w:val="000000"/>
        </w:rPr>
      </w:pPr>
    </w:p>
    <w:p w:rsidR="00491B30" w:rsidRDefault="00BA5DC6">
      <w:pPr>
        <w:spacing w:before="22" w:line="259" w:lineRule="exact"/>
        <w:ind w:left="20" w:right="1107" w:firstLine="79"/>
        <w:jc w:val="both"/>
        <w:rPr>
          <w:color w:val="000000"/>
          <w:spacing w:val="-4"/>
        </w:rPr>
      </w:pPr>
      <w:r>
        <w:rPr>
          <w:rFonts w:ascii="Times New Roman Bold" w:hAnsi="Times New Roman Bold"/>
          <w:color w:val="000000"/>
          <w:w w:val="102"/>
        </w:rPr>
        <w:t>[**20]</w:t>
      </w:r>
      <w:r>
        <w:rPr>
          <w:color w:val="000000"/>
          <w:w w:val="102"/>
        </w:rPr>
        <w:t xml:space="preserve"> see</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Banco Do Brasil</w:t>
      </w:r>
      <w:r>
        <w:rPr>
          <w:color w:val="0000FF"/>
          <w:w w:val="102"/>
          <w:u w:val="single"/>
        </w:rPr>
        <w:t xml:space="preserve"> , at pp. 1010-</w:t>
      </w:r>
      <w:r>
        <w:rPr>
          <w:color w:val="0000FF"/>
          <w:w w:val="102"/>
          <w:u w:val="single"/>
        </w:rPr>
        <w:br/>
      </w:r>
      <w:r>
        <w:rPr>
          <w:color w:val="0000FF"/>
          <w:spacing w:val="-4"/>
          <w:u w:val="single"/>
        </w:rPr>
        <w:t>1011</w:t>
      </w:r>
      <w:r>
        <w:rPr>
          <w:color w:val="000000"/>
          <w:spacing w:val="-4"/>
        </w:rPr>
        <w:t>.)</w:t>
      </w:r>
    </w:p>
    <w:p w:rsidR="00491B30" w:rsidRDefault="00BA5DC6">
      <w:pPr>
        <w:spacing w:before="200" w:line="259" w:lineRule="exact"/>
        <w:ind w:left="20" w:right="639"/>
        <w:rPr>
          <w:color w:val="000000"/>
        </w:rPr>
      </w:pPr>
      <w:r>
        <w:rPr>
          <w:color w:val="000000"/>
          <w:spacing w:val="-1"/>
        </w:rPr>
        <w:t>We note as well that the</w:t>
      </w:r>
      <w:r>
        <w:rPr>
          <w:rFonts w:ascii="Times New Roman Italic" w:hAnsi="Times New Roman Italic"/>
          <w:color w:val="000000"/>
          <w:spacing w:val="-1"/>
        </w:rPr>
        <w:t xml:space="preserve"> Pendergrass</w:t>
      </w:r>
      <w:r>
        <w:rPr>
          <w:color w:val="000000"/>
          <w:spacing w:val="-1"/>
        </w:rPr>
        <w:t xml:space="preserve"> approach </w:t>
      </w:r>
      <w:r>
        <w:rPr>
          <w:color w:val="000000"/>
          <w:spacing w:val="-1"/>
        </w:rPr>
        <w:br/>
      </w:r>
      <w:r>
        <w:rPr>
          <w:color w:val="000000"/>
        </w:rPr>
        <w:t xml:space="preserve">is not entirely without support in the treatises </w:t>
      </w:r>
      <w:r>
        <w:rPr>
          <w:color w:val="000000"/>
        </w:rPr>
        <w:br/>
      </w:r>
      <w:r>
        <w:rPr>
          <w:color w:val="000000"/>
          <w:w w:val="103"/>
        </w:rPr>
        <w:t>and law reviews. Wigmore, in a comment re-</w:t>
      </w:r>
      <w:r>
        <w:rPr>
          <w:color w:val="000000"/>
          <w:w w:val="103"/>
        </w:rPr>
        <w:br/>
      </w:r>
      <w:r>
        <w:rPr>
          <w:color w:val="000000"/>
        </w:rPr>
        <w:t>lied upon by the bank in</w:t>
      </w:r>
      <w:r>
        <w:rPr>
          <w:rFonts w:ascii="Times New Roman Italic" w:hAnsi="Times New Roman Italic"/>
          <w:color w:val="000000"/>
        </w:rPr>
        <w:t xml:space="preserve"> Pendergrass</w:t>
      </w:r>
      <w:r>
        <w:rPr>
          <w:color w:val="000000"/>
        </w:rPr>
        <w:t xml:space="preserve"> and re-</w:t>
      </w:r>
      <w:r>
        <w:rPr>
          <w:color w:val="000000"/>
        </w:rPr>
        <w:br/>
      </w:r>
      <w:r>
        <w:rPr>
          <w:color w:val="000000"/>
          <w:spacing w:val="-4"/>
        </w:rPr>
        <w:t>ferred to indirectly by the</w:t>
      </w:r>
      <w:r>
        <w:rPr>
          <w:rFonts w:ascii="Times New Roman Italic" w:hAnsi="Times New Roman Italic"/>
          <w:color w:val="000000"/>
          <w:spacing w:val="-4"/>
        </w:rPr>
        <w:t xml:space="preserve"> Pendergrass</w:t>
      </w:r>
      <w:r>
        <w:rPr>
          <w:color w:val="000000"/>
          <w:spacing w:val="-4"/>
        </w:rPr>
        <w:t xml:space="preserve"> court, has </w:t>
      </w:r>
      <w:r>
        <w:rPr>
          <w:color w:val="000000"/>
          <w:spacing w:val="-4"/>
        </w:rPr>
        <w:br/>
      </w:r>
      <w:r>
        <w:rPr>
          <w:color w:val="000000"/>
          <w:w w:val="101"/>
        </w:rPr>
        <w:t>opined that an intent not to perform a prom-</w:t>
      </w:r>
      <w:r>
        <w:rPr>
          <w:color w:val="000000"/>
          <w:w w:val="101"/>
        </w:rPr>
        <w:br/>
      </w:r>
      <w:r>
        <w:rPr>
          <w:color w:val="000000"/>
        </w:rPr>
        <w:t>ise should not be considered fraudulent for pur-</w:t>
      </w:r>
      <w:r>
        <w:rPr>
          <w:color w:val="000000"/>
        </w:rPr>
        <w:br/>
        <w:t xml:space="preserve">poses of the parol evidence rule. (9 Wigmore, </w:t>
      </w:r>
      <w:r>
        <w:rPr>
          <w:color w:val="000000"/>
        </w:rPr>
        <w:br/>
      </w:r>
      <w:r>
        <w:rPr>
          <w:color w:val="000000"/>
          <w:spacing w:val="-2"/>
        </w:rPr>
        <w:t xml:space="preserve">Evidence (Chadbourn rev. 1981) § 2439, p. 130; </w:t>
      </w:r>
      <w:r>
        <w:rPr>
          <w:color w:val="000000"/>
          <w:spacing w:val="-2"/>
        </w:rPr>
        <w:br/>
      </w:r>
      <w:r>
        <w:rPr>
          <w:color w:val="000000"/>
          <w:spacing w:val="-4"/>
        </w:rPr>
        <w:t>see Sweet,</w:t>
      </w:r>
      <w:r>
        <w:rPr>
          <w:rFonts w:ascii="Times New Roman Italic" w:hAnsi="Times New Roman Italic"/>
          <w:color w:val="000000"/>
          <w:spacing w:val="-4"/>
        </w:rPr>
        <w:t xml:space="preserve"> supr</w:t>
      </w:r>
      <w:r>
        <w:rPr>
          <w:rFonts w:ascii="Times New Roman Italic" w:hAnsi="Times New Roman Italic"/>
          <w:color w:val="000000"/>
          <w:spacing w:val="-4"/>
        </w:rPr>
        <w:t>a</w:t>
      </w:r>
      <w:r>
        <w:rPr>
          <w:color w:val="000000"/>
          <w:spacing w:val="-4"/>
        </w:rPr>
        <w:t>, 49 Cal. L.Rev. at p. 883;</w:t>
      </w:r>
      <w:r>
        <w:rPr>
          <w:rFonts w:ascii="Times New Roman Italic" w:hAnsi="Times New Roman Italic"/>
          <w:color w:val="0000FF"/>
          <w:spacing w:val="-4"/>
        </w:rPr>
        <w:t xml:space="preserve"> </w:t>
      </w:r>
      <w:r>
        <w:rPr>
          <w:rFonts w:ascii="Times New Roman Italic" w:hAnsi="Times New Roman Italic"/>
          <w:color w:val="0000FF"/>
          <w:spacing w:val="-4"/>
          <w:u w:val="single"/>
        </w:rPr>
        <w:t xml:space="preserve"> Pen-</w:t>
      </w:r>
      <w:r>
        <w:rPr>
          <w:rFonts w:ascii="Times New Roman Italic" w:hAnsi="Times New Roman Italic"/>
          <w:color w:val="0000FF"/>
          <w:spacing w:val="-4"/>
          <w:u w:val="single"/>
        </w:rPr>
        <w:br/>
      </w:r>
      <w:r>
        <w:rPr>
          <w:rFonts w:ascii="Times New Roman Italic" w:hAnsi="Times New Roman Italic"/>
          <w:color w:val="0000FF"/>
          <w:u w:val="single"/>
        </w:rPr>
        <w:t>dergrass, supra</w:t>
      </w:r>
      <w:r>
        <w:rPr>
          <w:color w:val="0000FF"/>
          <w:u w:val="single"/>
        </w:rPr>
        <w:t xml:space="preserve"> , 4 Cal.2d at p. 264</w:t>
      </w:r>
      <w:r>
        <w:rPr>
          <w:color w:val="000000"/>
        </w:rPr>
        <w:t>.) A re-</w:t>
      </w:r>
    </w:p>
    <w:p w:rsidR="00491B30" w:rsidRDefault="00BA5DC6">
      <w:pPr>
        <w:spacing w:before="1" w:line="259" w:lineRule="exact"/>
        <w:ind w:left="20" w:right="639"/>
        <w:jc w:val="both"/>
        <w:rPr>
          <w:color w:val="000000"/>
        </w:rPr>
      </w:pPr>
      <w:r>
        <w:rPr>
          <w:color w:val="000000"/>
          <w:spacing w:val="-2"/>
        </w:rPr>
        <w:t>cent law review comment, while critical of</w:t>
      </w:r>
      <w:r>
        <w:rPr>
          <w:rFonts w:ascii="Times New Roman Italic" w:hAnsi="Times New Roman Italic"/>
          <w:color w:val="000000"/>
          <w:spacing w:val="-2"/>
        </w:rPr>
        <w:t xml:space="preserve"> Pen-</w:t>
      </w:r>
      <w:r>
        <w:rPr>
          <w:rFonts w:ascii="Times New Roman Italic" w:hAnsi="Times New Roman Italic"/>
          <w:color w:val="000000"/>
          <w:spacing w:val="-2"/>
        </w:rPr>
        <w:br/>
      </w:r>
      <w:r>
        <w:rPr>
          <w:rFonts w:ascii="Times New Roman Italic" w:hAnsi="Times New Roman Italic"/>
          <w:color w:val="000000"/>
        </w:rPr>
        <w:t>dergrass</w:t>
      </w:r>
      <w:r>
        <w:rPr>
          <w:color w:val="000000"/>
        </w:rPr>
        <w:t>, favors limiting the scope of the</w:t>
      </w:r>
    </w:p>
    <w:p w:rsidR="00491B30" w:rsidRDefault="00BA5DC6">
      <w:pPr>
        <w:spacing w:line="259" w:lineRule="exact"/>
        <w:ind w:left="20" w:right="643"/>
        <w:jc w:val="both"/>
        <w:rPr>
          <w:rFonts w:ascii="Times New Roman Italic" w:hAnsi="Times New Roman Italic"/>
          <w:color w:val="0000FF"/>
          <w:w w:val="101"/>
          <w:u w:val="single"/>
        </w:rPr>
      </w:pPr>
      <w:r>
        <w:rPr>
          <w:color w:val="000000"/>
        </w:rPr>
        <w:t xml:space="preserve">fraud exception and advocates an even stricter rule  for  sophisticated  parties. </w:t>
      </w:r>
      <w:r>
        <w:rPr>
          <w:color w:val="000000"/>
          <w:spacing w:val="-1"/>
        </w:rPr>
        <w:t>(</w:t>
      </w:r>
      <w:r>
        <w:rPr>
          <w:rFonts w:ascii="Times New Roman Italic" w:hAnsi="Times New Roman Italic"/>
          <w:color w:val="000000"/>
          <w:spacing w:val="-1"/>
        </w:rPr>
        <w:t>Fraud  Excep-</w:t>
      </w:r>
      <w:r>
        <w:rPr>
          <w:rFonts w:ascii="Times New Roman Italic" w:hAnsi="Times New Roman Italic"/>
          <w:color w:val="000000"/>
          <w:spacing w:val="-1"/>
        </w:rPr>
        <w:br/>
      </w:r>
      <w:r>
        <w:rPr>
          <w:rFonts w:ascii="Times New Roman Italic" w:hAnsi="Times New Roman Italic"/>
          <w:color w:val="000000"/>
          <w:w w:val="101"/>
        </w:rPr>
        <w:t>tion</w:t>
      </w:r>
      <w:r>
        <w:rPr>
          <w:color w:val="000000"/>
          <w:w w:val="101"/>
        </w:rPr>
        <w:t>,</w:t>
      </w:r>
      <w:r>
        <w:rPr>
          <w:rFonts w:ascii="Times New Roman Italic" w:hAnsi="Times New Roman Italic"/>
          <w:color w:val="000000"/>
          <w:w w:val="101"/>
        </w:rPr>
        <w:t xml:space="preserve"> supra</w:t>
      </w:r>
      <w:r>
        <w:rPr>
          <w:color w:val="000000"/>
          <w:w w:val="101"/>
        </w:rPr>
        <w:t>,</w:t>
      </w:r>
      <w:r>
        <w:rPr>
          <w:rFonts w:ascii="Times New Roman Italic" w:hAnsi="Times New Roman Italic"/>
          <w:color w:val="0000FF"/>
          <w:w w:val="101"/>
        </w:rPr>
        <w:t xml:space="preserve"> </w:t>
      </w:r>
      <w:r>
        <w:rPr>
          <w:rFonts w:ascii="Times New Roman Italic" w:hAnsi="Times New Roman Italic"/>
          <w:color w:val="0000FF"/>
          <w:w w:val="101"/>
          <w:u w:val="single"/>
        </w:rPr>
        <w:t xml:space="preserve"> 82 So.Cal. L.Rev. at pp. 812-</w:t>
      </w:r>
    </w:p>
    <w:p w:rsidR="00491B30" w:rsidRDefault="00BA5DC6">
      <w:pPr>
        <w:spacing w:before="1" w:line="259" w:lineRule="exact"/>
        <w:ind w:left="20"/>
        <w:rPr>
          <w:color w:val="000000"/>
          <w:spacing w:val="-3"/>
        </w:rPr>
      </w:pPr>
      <w:r>
        <w:rPr>
          <w:rFonts w:ascii="Times New Roman Italic" w:hAnsi="Times New Roman Italic"/>
          <w:color w:val="0000FF"/>
          <w:spacing w:val="-3"/>
          <w:u w:val="single"/>
        </w:rPr>
        <w:t>813</w:t>
      </w:r>
      <w:r>
        <w:rPr>
          <w:color w:val="000000"/>
          <w:spacing w:val="-3"/>
        </w:rPr>
        <w:t>.)</w:t>
      </w:r>
    </w:p>
    <w:p w:rsidR="00491B30" w:rsidRDefault="00BA5DC6">
      <w:pPr>
        <w:spacing w:before="246" w:line="276" w:lineRule="exact"/>
        <w:ind w:left="20"/>
        <w:rPr>
          <w:rFonts w:ascii="Times New Roman Italic" w:hAnsi="Times New Roman Italic"/>
          <w:color w:val="000000"/>
          <w:spacing w:val="-2"/>
        </w:rPr>
      </w:pPr>
      <w:r>
        <w:rPr>
          <w:color w:val="000000"/>
          <w:spacing w:val="-2"/>
        </w:rPr>
        <w:t>C. Pendergrass</w:t>
      </w:r>
      <w:r>
        <w:rPr>
          <w:rFonts w:ascii="Times New Roman Italic" w:hAnsi="Times New Roman Italic"/>
          <w:color w:val="000000"/>
          <w:spacing w:val="-2"/>
        </w:rPr>
        <w:t xml:space="preserve"> Reconsidered</w:t>
      </w:r>
    </w:p>
    <w:p w:rsidR="00491B30" w:rsidRDefault="00491B30">
      <w:pPr>
        <w:spacing w:line="259" w:lineRule="exact"/>
        <w:ind w:left="5807"/>
        <w:rPr>
          <w:rFonts w:ascii="Times New Roman Italic" w:hAnsi="Times New Roman Italic"/>
          <w:color w:val="000000"/>
          <w:spacing w:val="-2"/>
        </w:rPr>
      </w:pPr>
    </w:p>
    <w:p w:rsidR="00491B30" w:rsidRDefault="00BA5DC6">
      <w:pPr>
        <w:spacing w:before="38" w:line="259" w:lineRule="exact"/>
        <w:ind w:left="20" w:right="640"/>
        <w:rPr>
          <w:rFonts w:ascii="Times New Roman Italic" w:hAnsi="Times New Roman Italic"/>
          <w:color w:val="0000FF"/>
          <w:spacing w:val="-3"/>
        </w:rPr>
      </w:pPr>
      <w:r>
        <w:rPr>
          <w:color w:val="000000"/>
        </w:rPr>
        <w:t xml:space="preserve">There are multiple reasons to question whether </w:t>
      </w:r>
      <w:r>
        <w:rPr>
          <w:color w:val="000000"/>
        </w:rPr>
        <w:br/>
      </w:r>
      <w:r>
        <w:rPr>
          <w:rFonts w:ascii="Times New Roman Italic" w:hAnsi="Times New Roman Italic"/>
          <w:color w:val="000000"/>
        </w:rPr>
        <w:t>Pendergrass</w:t>
      </w:r>
      <w:r>
        <w:rPr>
          <w:color w:val="000000"/>
        </w:rPr>
        <w:t xml:space="preserve"> has stood the test of time. It has </w:t>
      </w:r>
      <w:r>
        <w:rPr>
          <w:color w:val="000000"/>
        </w:rPr>
        <w:br/>
      </w:r>
      <w:r>
        <w:rPr>
          <w:color w:val="000000"/>
          <w:spacing w:val="-4"/>
        </w:rPr>
        <w:t xml:space="preserve">been criticized as bad policy. Its limitation on the </w:t>
      </w:r>
      <w:r>
        <w:rPr>
          <w:color w:val="000000"/>
          <w:spacing w:val="-4"/>
        </w:rPr>
        <w:br/>
      </w:r>
      <w:r>
        <w:rPr>
          <w:color w:val="000000"/>
          <w:spacing w:val="-3"/>
        </w:rPr>
        <w:t xml:space="preserve">fraud </w:t>
      </w:r>
      <w:r>
        <w:rPr>
          <w:color w:val="000000"/>
          <w:spacing w:val="-3"/>
        </w:rPr>
        <w:t>exception is inconsistent with the govern-</w:t>
      </w:r>
      <w:r>
        <w:rPr>
          <w:color w:val="000000"/>
          <w:spacing w:val="-3"/>
        </w:rPr>
        <w:br/>
      </w:r>
      <w:r>
        <w:rPr>
          <w:color w:val="000000"/>
        </w:rPr>
        <w:t xml:space="preserve">ing statute, and the Legislature did not adopt </w:t>
      </w:r>
      <w:r>
        <w:rPr>
          <w:color w:val="000000"/>
        </w:rPr>
        <w:br/>
      </w:r>
      <w:r>
        <w:rPr>
          <w:color w:val="000000"/>
          <w:w w:val="106"/>
        </w:rPr>
        <w:t>that limitation when it revised</w:t>
      </w:r>
      <w:r>
        <w:rPr>
          <w:rFonts w:ascii="Times New Roman Italic" w:hAnsi="Times New Roman Italic"/>
          <w:color w:val="0000FF"/>
          <w:w w:val="106"/>
        </w:rPr>
        <w:t xml:space="preserve"> section </w:t>
      </w:r>
      <w:r>
        <w:rPr>
          <w:rFonts w:ascii="Times New Roman Italic" w:hAnsi="Times New Roman Italic"/>
          <w:color w:val="0000FF"/>
          <w:spacing w:val="-3"/>
        </w:rPr>
        <w:t>1856</w:t>
      </w:r>
    </w:p>
    <w:p w:rsidR="00491B30" w:rsidRDefault="00BA5DC6">
      <w:pPr>
        <w:spacing w:before="1" w:line="259" w:lineRule="exact"/>
        <w:ind w:left="20" w:right="639"/>
        <w:rPr>
          <w:color w:val="000000"/>
        </w:rPr>
      </w:pPr>
      <w:r>
        <w:rPr>
          <w:color w:val="000000"/>
          <w:w w:val="104"/>
        </w:rPr>
        <w:t>based on a survey of California case law con-</w:t>
      </w:r>
      <w:r>
        <w:rPr>
          <w:color w:val="000000"/>
          <w:w w:val="104"/>
        </w:rPr>
        <w:br/>
      </w:r>
      <w:r>
        <w:rPr>
          <w:color w:val="000000"/>
          <w:spacing w:val="-1"/>
        </w:rPr>
        <w:t>struing the parol evidence rule.</w:t>
      </w:r>
      <w:r>
        <w:rPr>
          <w:rFonts w:ascii="Times New Roman Italic" w:hAnsi="Times New Roman Italic"/>
          <w:color w:val="000000"/>
          <w:spacing w:val="-1"/>
        </w:rPr>
        <w:t xml:space="preserve"> Pendergrass</w:t>
      </w:r>
      <w:r>
        <w:rPr>
          <w:color w:val="000000"/>
          <w:spacing w:val="-1"/>
        </w:rPr>
        <w:t xml:space="preserve">’s </w:t>
      </w:r>
      <w:r>
        <w:rPr>
          <w:color w:val="000000"/>
          <w:spacing w:val="-1"/>
        </w:rPr>
        <w:br/>
      </w:r>
      <w:r>
        <w:rPr>
          <w:color w:val="000000"/>
          <w:spacing w:val="-3"/>
        </w:rPr>
        <w:t>divergence from the path</w:t>
      </w:r>
      <w:r>
        <w:rPr>
          <w:rFonts w:ascii="Times New Roman Bold" w:hAnsi="Times New Roman Bold"/>
          <w:color w:val="000000"/>
          <w:spacing w:val="-3"/>
        </w:rPr>
        <w:t xml:space="preserve"> [**21]</w:t>
      </w:r>
      <w:r>
        <w:rPr>
          <w:color w:val="000000"/>
          <w:spacing w:val="-3"/>
        </w:rPr>
        <w:t xml:space="preserve"> followed by the </w:t>
      </w:r>
      <w:r>
        <w:rPr>
          <w:color w:val="000000"/>
          <w:spacing w:val="-3"/>
        </w:rPr>
        <w:br/>
      </w:r>
      <w:r>
        <w:rPr>
          <w:color w:val="000000"/>
        </w:rPr>
        <w:t xml:space="preserve">Restatements, the majority of other states, and </w:t>
      </w:r>
      <w:r>
        <w:rPr>
          <w:color w:val="000000"/>
        </w:rPr>
        <w:br/>
      </w:r>
      <w:r>
        <w:rPr>
          <w:color w:val="000000"/>
          <w:w w:val="105"/>
        </w:rPr>
        <w:t xml:space="preserve">most commentators is cause for concern, and </w:t>
      </w:r>
      <w:r>
        <w:rPr>
          <w:color w:val="000000"/>
          <w:w w:val="105"/>
        </w:rPr>
        <w:br/>
      </w:r>
      <w:r>
        <w:rPr>
          <w:color w:val="000000"/>
          <w:w w:val="101"/>
        </w:rPr>
        <w:t xml:space="preserve">leads us to doubt </w:t>
      </w:r>
      <w:r>
        <w:rPr>
          <w:rFonts w:ascii="Times New Roman Bold" w:hAnsi="Times New Roman Bold"/>
          <w:color w:val="000000"/>
          <w:spacing w:val="-1"/>
        </w:rPr>
        <w:t>[*1180]</w:t>
      </w:r>
      <w:r>
        <w:rPr>
          <w:color w:val="000000"/>
          <w:spacing w:val="-1"/>
        </w:rPr>
        <w:t xml:space="preserve">  whether restrict-</w:t>
      </w:r>
      <w:r>
        <w:rPr>
          <w:color w:val="000000"/>
          <w:spacing w:val="-1"/>
        </w:rPr>
        <w:br/>
      </w:r>
      <w:r>
        <w:rPr>
          <w:color w:val="000000"/>
          <w:w w:val="101"/>
        </w:rPr>
        <w:t>ing fraud claims is necessary to serve the pur-</w:t>
      </w:r>
      <w:r>
        <w:rPr>
          <w:color w:val="000000"/>
          <w:w w:val="101"/>
        </w:rPr>
        <w:br/>
      </w:r>
      <w:r>
        <w:rPr>
          <w:color w:val="000000"/>
          <w:w w:val="103"/>
        </w:rPr>
        <w:t xml:space="preserve">poses of the parol evidence rule. Furthermore, </w:t>
      </w:r>
      <w:r>
        <w:rPr>
          <w:color w:val="000000"/>
          <w:w w:val="103"/>
        </w:rPr>
        <w:br/>
      </w:r>
      <w:r>
        <w:rPr>
          <w:color w:val="000000"/>
          <w:spacing w:val="-1"/>
        </w:rPr>
        <w:t>the functionality of the</w:t>
      </w:r>
      <w:r>
        <w:rPr>
          <w:rFonts w:ascii="Times New Roman Italic" w:hAnsi="Times New Roman Italic"/>
          <w:color w:val="000000"/>
          <w:spacing w:val="-1"/>
        </w:rPr>
        <w:t xml:space="preserve"> Pendergrass</w:t>
      </w:r>
      <w:r>
        <w:rPr>
          <w:color w:val="000000"/>
          <w:spacing w:val="-1"/>
        </w:rPr>
        <w:t xml:space="preserve"> limitation </w:t>
      </w:r>
      <w:r>
        <w:rPr>
          <w:color w:val="000000"/>
          <w:spacing w:val="-1"/>
        </w:rPr>
        <w:br/>
      </w:r>
      <w:r>
        <w:rPr>
          <w:color w:val="000000"/>
        </w:rPr>
        <w:t xml:space="preserve">has been called into question by the vagaries of </w:t>
      </w:r>
      <w:r>
        <w:rPr>
          <w:color w:val="000000"/>
        </w:rPr>
        <w:br/>
        <w:t>its interpretations in the Courts of Appeal.</w:t>
      </w:r>
    </w:p>
    <w:p w:rsidR="00491B30" w:rsidRDefault="00BA5DC6">
      <w:pPr>
        <w:spacing w:before="200" w:line="259" w:lineRule="exact"/>
        <w:ind w:left="20" w:right="705"/>
        <w:jc w:val="both"/>
        <w:rPr>
          <w:color w:val="000000"/>
        </w:rPr>
      </w:pPr>
      <w:r>
        <w:rPr>
          <w:rFonts w:ascii="Times New Roman Bold Italic" w:hAnsi="Times New Roman Bold Italic"/>
          <w:color w:val="000000"/>
        </w:rPr>
        <w:t>CA(4)</w:t>
      </w:r>
      <w:r>
        <w:rPr>
          <w:color w:val="000000"/>
        </w:rPr>
        <w:t xml:space="preserve"> (4) We respect the principle of stare de-</w:t>
      </w:r>
      <w:r>
        <w:rPr>
          <w:color w:val="000000"/>
        </w:rPr>
        <w:br/>
        <w:t xml:space="preserve">cisis, but </w:t>
      </w:r>
      <w:r>
        <w:rPr>
          <w:color w:val="000000"/>
        </w:rPr>
        <w:t>reconsideration of a poorly rea-</w:t>
      </w:r>
    </w:p>
    <w:p w:rsidR="00491B30" w:rsidRDefault="00491B30">
      <w:pPr>
        <w:rPr>
          <w:color w:val="000000"/>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13" w:lineRule="exact"/>
        <w:ind w:left="898"/>
        <w:jc w:val="both"/>
        <w:rPr>
          <w:color w:val="000000"/>
        </w:rPr>
      </w:pPr>
    </w:p>
    <w:p w:rsidR="00491B30" w:rsidRDefault="00491B30">
      <w:pPr>
        <w:spacing w:line="213" w:lineRule="exact"/>
        <w:ind w:left="898"/>
        <w:jc w:val="both"/>
        <w:rPr>
          <w:color w:val="000000"/>
        </w:rPr>
      </w:pPr>
    </w:p>
    <w:p w:rsidR="00491B30" w:rsidRDefault="00BA5DC6">
      <w:pPr>
        <w:tabs>
          <w:tab w:val="left" w:pos="1148"/>
        </w:tabs>
        <w:spacing w:before="5" w:line="213" w:lineRule="exact"/>
        <w:ind w:left="898" w:right="742"/>
        <w:jc w:val="both"/>
        <w:rPr>
          <w:color w:val="000000"/>
          <w:sz w:val="18"/>
        </w:rPr>
      </w:pPr>
      <w:r>
        <w:rPr>
          <w:color w:val="000000"/>
          <w:spacing w:val="-2"/>
          <w:position w:val="2"/>
          <w:sz w:val="12"/>
        </w:rPr>
        <w:t xml:space="preserve">8 </w:t>
      </w:r>
      <w:r>
        <w:rPr>
          <w:color w:val="000000"/>
          <w:spacing w:val="-2"/>
          <w:position w:val="2"/>
          <w:sz w:val="12"/>
        </w:rPr>
        <w:tab/>
      </w:r>
      <w:r>
        <w:rPr>
          <w:color w:val="000000"/>
          <w:position w:val="-3"/>
          <w:sz w:val="18"/>
        </w:rPr>
        <w:t>The commission’s awareness of</w:t>
      </w:r>
      <w:r>
        <w:rPr>
          <w:rFonts w:ascii="Times New Roman Italic" w:hAnsi="Times New Roman Italic"/>
          <w:color w:val="000000"/>
          <w:position w:val="-3"/>
          <w:sz w:val="18"/>
        </w:rPr>
        <w:t xml:space="preserve"> Pendergrass</w:t>
      </w:r>
      <w:r>
        <w:rPr>
          <w:color w:val="000000"/>
          <w:position w:val="-3"/>
          <w:sz w:val="18"/>
        </w:rPr>
        <w:t xml:space="preserve"> is also indicated by its reliance on a law review article suggesting reforms to the </w:t>
      </w:r>
      <w:r>
        <w:rPr>
          <w:color w:val="000000"/>
          <w:sz w:val="18"/>
        </w:rPr>
        <w:t>parol evidence rule, which implicitly criticized</w:t>
      </w:r>
      <w:r>
        <w:rPr>
          <w:rFonts w:ascii="Times New Roman Italic" w:hAnsi="Times New Roman Italic"/>
          <w:color w:val="000000"/>
          <w:sz w:val="18"/>
        </w:rPr>
        <w:t xml:space="preserve"> Pendergrass</w:t>
      </w:r>
      <w:r>
        <w:rPr>
          <w:color w:val="000000"/>
          <w:sz w:val="18"/>
        </w:rPr>
        <w:t xml:space="preserve">. </w:t>
      </w:r>
      <w:r>
        <w:rPr>
          <w:color w:val="000000"/>
          <w:sz w:val="18"/>
        </w:rPr>
        <w:t>(Sweet,</w:t>
      </w:r>
      <w:r>
        <w:rPr>
          <w:rFonts w:ascii="Times New Roman Italic" w:hAnsi="Times New Roman Italic"/>
          <w:color w:val="000000"/>
          <w:sz w:val="18"/>
        </w:rPr>
        <w:t xml:space="preserve"> Contract Making and Parol Evidence: Diagnosis and Treatment of a Sick Rule</w:t>
      </w:r>
      <w:r>
        <w:rPr>
          <w:color w:val="000000"/>
          <w:sz w:val="18"/>
        </w:rPr>
        <w:t xml:space="preserve"> (1967-1968) 53 Cornell L.Rev. 1036, 1049, fn. 67; see Recommendation Relating to Parol Evidence Rule, 14 Cal. Law Revision Com. Rep.,</w:t>
      </w:r>
      <w:r>
        <w:rPr>
          <w:rFonts w:ascii="Times New Roman Italic" w:hAnsi="Times New Roman Italic"/>
          <w:color w:val="000000"/>
          <w:sz w:val="18"/>
        </w:rPr>
        <w:t xml:space="preserve"> supra</w:t>
      </w:r>
      <w:r>
        <w:rPr>
          <w:color w:val="000000"/>
          <w:sz w:val="18"/>
        </w:rPr>
        <w:t xml:space="preserve">, p. 147, fns. 2, 3.) </w:t>
      </w:r>
    </w:p>
    <w:p w:rsidR="00491B30" w:rsidRDefault="00491B30">
      <w:pPr>
        <w:spacing w:line="230" w:lineRule="exact"/>
        <w:ind w:left="5183"/>
        <w:rPr>
          <w:color w:val="000000"/>
          <w:sz w:val="18"/>
        </w:rPr>
      </w:pPr>
    </w:p>
    <w:p w:rsidR="00491B30" w:rsidRDefault="00BA5DC6">
      <w:pPr>
        <w:spacing w:before="63" w:line="230" w:lineRule="exact"/>
        <w:ind w:left="5183"/>
        <w:rPr>
          <w:color w:val="000000"/>
          <w:spacing w:val="-1"/>
          <w:sz w:val="20"/>
        </w:rPr>
      </w:pPr>
      <w:r>
        <w:rPr>
          <w:color w:val="000000"/>
          <w:spacing w:val="-1"/>
          <w:sz w:val="20"/>
        </w:rPr>
        <w:t>Charles Co</w:t>
      </w:r>
      <w:r>
        <w:rPr>
          <w:color w:val="000000"/>
          <w:spacing w:val="-1"/>
          <w:sz w:val="20"/>
        </w:rPr>
        <w:t xml:space="preserve">x </w:t>
      </w:r>
      <w:r>
        <w:rPr>
          <w:color w:val="000000"/>
          <w:spacing w:val="-1"/>
          <w:sz w:val="20"/>
        </w:rPr>
        <w:pict>
          <v:line id="_x0000_s1103" style="position:absolute;left:0;text-align:left;z-index:-251579392;mso-position-horizontal-relative:page;mso-position-vertical-relative:page" from="474.35pt,443.1pt" to="538.35pt,443.1pt" o:allowincell="f" strokecolor="blue" strokeweight="1pt">
            <w10:wrap anchorx="page" anchory="page"/>
          </v:line>
        </w:pict>
      </w:r>
      <w:r>
        <w:rPr>
          <w:color w:val="000000"/>
          <w:spacing w:val="-1"/>
          <w:sz w:val="20"/>
        </w:rPr>
        <w:pict>
          <v:line id="_x0000_s1104" style="position:absolute;left:0;text-align:left;z-index:-251576320;mso-position-horizontal-relative:page;mso-position-vertical-relative:page" from="66.5pt,671.9pt" to="545.45pt,671.9pt" o:allowincell="f" strokeweight="1.5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491B30">
      <w:pPr>
        <w:spacing w:line="240" w:lineRule="exact"/>
        <w:rPr>
          <w:color w:val="000000"/>
          <w:spacing w:val="-1"/>
        </w:rPr>
      </w:pPr>
      <w:bookmarkStart w:id="11" w:name="Pg12"/>
      <w:bookmarkEnd w:id="11"/>
    </w:p>
    <w:p w:rsidR="00491B30" w:rsidRDefault="00491B30">
      <w:pPr>
        <w:rPr>
          <w:color w:val="000000"/>
          <w:spacing w:val="-1"/>
        </w:rPr>
        <w:sectPr w:rsidR="00491B30">
          <w:pgSz w:w="12220" w:h="15820"/>
          <w:pgMar w:top="431" w:right="431" w:bottom="431" w:left="431" w:header="720" w:footer="720" w:gutter="0"/>
          <w:cols w:space="720"/>
        </w:sectPr>
      </w:pPr>
    </w:p>
    <w:p w:rsidR="00491B30" w:rsidRDefault="00BA5DC6">
      <w:pPr>
        <w:spacing w:line="180" w:lineRule="exact"/>
        <w:ind w:left="3533"/>
        <w:rPr>
          <w:color w:val="000000"/>
          <w:spacing w:val="-2"/>
          <w:sz w:val="20"/>
        </w:rPr>
      </w:pPr>
      <w:r>
        <w:rPr>
          <w:color w:val="000000"/>
          <w:spacing w:val="-2"/>
          <w:sz w:val="20"/>
        </w:rPr>
        <w:lastRenderedPageBreak/>
        <w:t>55 Cal. 4th 1169, *1180;</w:t>
      </w:r>
    </w:p>
    <w:p w:rsidR="00491B30" w:rsidRDefault="00491B30">
      <w:pPr>
        <w:spacing w:line="259" w:lineRule="exact"/>
        <w:ind w:left="898"/>
        <w:jc w:val="both"/>
        <w:rPr>
          <w:color w:val="000000"/>
          <w:spacing w:val="-2"/>
          <w:sz w:val="20"/>
        </w:rPr>
      </w:pPr>
    </w:p>
    <w:p w:rsidR="00491B30" w:rsidRDefault="00491B30">
      <w:pPr>
        <w:spacing w:line="259" w:lineRule="exact"/>
        <w:ind w:left="898"/>
        <w:jc w:val="both"/>
        <w:rPr>
          <w:color w:val="000000"/>
          <w:spacing w:val="-2"/>
          <w:sz w:val="20"/>
        </w:rPr>
      </w:pPr>
    </w:p>
    <w:p w:rsidR="00491B30" w:rsidRDefault="00BA5DC6">
      <w:pPr>
        <w:spacing w:before="9" w:line="259" w:lineRule="exact"/>
        <w:ind w:left="898"/>
        <w:jc w:val="both"/>
        <w:rPr>
          <w:color w:val="000000"/>
          <w:spacing w:val="-1"/>
        </w:rPr>
      </w:pPr>
      <w:r>
        <w:rPr>
          <w:color w:val="000000"/>
        </w:rPr>
        <w:t>soned opinion is nevertheless appropriate.</w:t>
      </w:r>
      <w:r>
        <w:rPr>
          <w:color w:val="000000"/>
          <w:vertAlign w:val="superscript"/>
        </w:rPr>
        <w:t xml:space="preserve"> 9</w:t>
      </w:r>
      <w:r>
        <w:rPr>
          <w:color w:val="000000"/>
        </w:rPr>
        <w:t xml:space="preserve"> It </w:t>
      </w:r>
      <w:r>
        <w:rPr>
          <w:color w:val="000000"/>
          <w:spacing w:val="-6"/>
        </w:rPr>
        <w:t>is settled that</w:t>
      </w:r>
      <w:r>
        <w:rPr>
          <w:rFonts w:ascii="Times New Roman Bold Italic" w:hAnsi="Times New Roman Bold Italic"/>
          <w:color w:val="000000"/>
          <w:spacing w:val="-6"/>
        </w:rPr>
        <w:t xml:space="preserve"> HN7</w:t>
      </w:r>
      <w:r>
        <w:rPr>
          <w:color w:val="000000"/>
          <w:spacing w:val="-6"/>
        </w:rPr>
        <w:t xml:space="preserve"> if a decision departed from an </w:t>
      </w:r>
      <w:r>
        <w:rPr>
          <w:color w:val="000000"/>
          <w:spacing w:val="-1"/>
        </w:rPr>
        <w:t>established general rule without discussing</w:t>
      </w:r>
    </w:p>
    <w:p w:rsidR="00491B30" w:rsidRDefault="00BA5DC6">
      <w:pPr>
        <w:spacing w:before="1" w:line="259" w:lineRule="exact"/>
        <w:ind w:left="898"/>
        <w:jc w:val="both"/>
        <w:rPr>
          <w:color w:val="0000FF"/>
          <w:w w:val="101"/>
          <w:u w:val="single"/>
        </w:rPr>
      </w:pPr>
      <w:r>
        <w:rPr>
          <w:color w:val="000000"/>
          <w:spacing w:val="-1"/>
        </w:rPr>
        <w:t xml:space="preserve">the contrary authority, its weight as precedent </w:t>
      </w:r>
      <w:r>
        <w:rPr>
          <w:color w:val="000000"/>
          <w:spacing w:val="-1"/>
        </w:rPr>
        <w:br/>
      </w:r>
      <w:r>
        <w:rPr>
          <w:color w:val="000000"/>
          <w:w w:val="102"/>
        </w:rPr>
        <w:t xml:space="preserve">is diminished. </w:t>
      </w:r>
      <w:r>
        <w:rPr>
          <w:color w:val="000000"/>
          <w:w w:val="106"/>
        </w:rPr>
        <w:t>(See, e.g.,</w:t>
      </w:r>
      <w:r>
        <w:rPr>
          <w:rFonts w:ascii="Times New Roman Italic" w:hAnsi="Times New Roman Italic"/>
          <w:color w:val="0000FF"/>
          <w:w w:val="106"/>
        </w:rPr>
        <w:t xml:space="preserve"> </w:t>
      </w:r>
      <w:r>
        <w:rPr>
          <w:rFonts w:ascii="Times New Roman Italic" w:hAnsi="Times New Roman Italic"/>
          <w:color w:val="0000FF"/>
          <w:w w:val="106"/>
          <w:u w:val="single"/>
        </w:rPr>
        <w:t xml:space="preserve"> Phelan v. Superior </w:t>
      </w:r>
      <w:r>
        <w:rPr>
          <w:rFonts w:ascii="Times New Roman Italic" w:hAnsi="Times New Roman Italic"/>
          <w:color w:val="0000FF"/>
          <w:w w:val="106"/>
          <w:u w:val="single"/>
        </w:rPr>
        <w:br/>
      </w:r>
      <w:r>
        <w:rPr>
          <w:rFonts w:ascii="Times New Roman Italic" w:hAnsi="Times New Roman Italic"/>
          <w:color w:val="0000FF"/>
          <w:w w:val="101"/>
          <w:u w:val="single"/>
        </w:rPr>
        <w:t>Court</w:t>
      </w:r>
      <w:r>
        <w:rPr>
          <w:color w:val="0000FF"/>
          <w:w w:val="101"/>
          <w:u w:val="single"/>
        </w:rPr>
        <w:t xml:space="preserve">  (1950) 35 Cal.2d 363, 367-369 [217</w:t>
      </w:r>
    </w:p>
    <w:p w:rsidR="00491B30" w:rsidRDefault="00BA5DC6">
      <w:pPr>
        <w:spacing w:line="259" w:lineRule="exact"/>
        <w:ind w:left="898"/>
        <w:rPr>
          <w:color w:val="000000"/>
        </w:rPr>
      </w:pPr>
      <w:r>
        <w:rPr>
          <w:color w:val="0000FF"/>
          <w:u w:val="single"/>
        </w:rPr>
        <w:t>P.2d 951]</w:t>
      </w:r>
      <w:r>
        <w:rPr>
          <w:color w:val="000000"/>
        </w:rPr>
        <w:t xml:space="preserve">; 9 Witkin, Cal. Procedure (5th ed. </w:t>
      </w:r>
      <w:r>
        <w:rPr>
          <w:color w:val="000000"/>
          <w:w w:val="103"/>
        </w:rPr>
        <w:t>2008) Appeal, § 537, pp. 606-608.) Accord-</w:t>
      </w:r>
      <w:r>
        <w:rPr>
          <w:color w:val="000000"/>
          <w:w w:val="103"/>
        </w:rPr>
        <w:br/>
      </w:r>
      <w:r>
        <w:rPr>
          <w:color w:val="000000"/>
          <w:spacing w:val="-6"/>
        </w:rPr>
        <w:t xml:space="preserve">ingly, we review the state of the law on the scope </w:t>
      </w:r>
      <w:r>
        <w:rPr>
          <w:color w:val="000000"/>
        </w:rPr>
        <w:t>of the fraud exception when</w:t>
      </w:r>
      <w:r>
        <w:rPr>
          <w:rFonts w:ascii="Times New Roman Italic" w:hAnsi="Times New Roman Italic"/>
          <w:color w:val="000000"/>
        </w:rPr>
        <w:t xml:space="preserve"> Pendergrass</w:t>
      </w:r>
      <w:r>
        <w:rPr>
          <w:color w:val="000000"/>
        </w:rPr>
        <w:t xml:space="preserve"> was </w:t>
      </w:r>
      <w:r>
        <w:rPr>
          <w:color w:val="000000"/>
          <w:w w:val="102"/>
        </w:rPr>
        <w:t xml:space="preserve">decided, to determine if it was consistent with </w:t>
      </w:r>
      <w:r>
        <w:rPr>
          <w:color w:val="000000"/>
        </w:rPr>
        <w:t>California law at that time.</w:t>
      </w:r>
    </w:p>
    <w:p w:rsidR="00491B30" w:rsidRDefault="00BA5DC6">
      <w:pPr>
        <w:spacing w:before="200" w:line="259" w:lineRule="exact"/>
        <w:ind w:left="898"/>
        <w:rPr>
          <w:color w:val="000000"/>
        </w:rPr>
      </w:pPr>
      <w:r>
        <w:rPr>
          <w:color w:val="000000"/>
        </w:rPr>
        <w:t xml:space="preserve">Earlier cases from this court routinely stated </w:t>
      </w:r>
      <w:r>
        <w:rPr>
          <w:color w:val="000000"/>
          <w:spacing w:val="-5"/>
        </w:rPr>
        <w:t>without qualification that parol evidence was ad-</w:t>
      </w:r>
      <w:r>
        <w:rPr>
          <w:color w:val="000000"/>
          <w:spacing w:val="-5"/>
        </w:rPr>
        <w:br/>
      </w:r>
      <w:r>
        <w:rPr>
          <w:color w:val="000000"/>
          <w:spacing w:val="-2"/>
        </w:rPr>
        <w:t>missible to prove fraud. (E.g.,</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Martin v. Sugar-</w:t>
      </w:r>
      <w:r>
        <w:rPr>
          <w:rFonts w:ascii="Times New Roman Italic" w:hAnsi="Times New Roman Italic"/>
          <w:color w:val="0000FF"/>
          <w:spacing w:val="-2"/>
          <w:u w:val="single"/>
        </w:rPr>
        <w:br/>
      </w:r>
      <w:r>
        <w:rPr>
          <w:rFonts w:ascii="Times New Roman Italic" w:hAnsi="Times New Roman Italic"/>
          <w:color w:val="0000FF"/>
          <w:u w:val="single"/>
        </w:rPr>
        <w:t>man</w:t>
      </w:r>
      <w:r>
        <w:rPr>
          <w:color w:val="0000FF"/>
          <w:u w:val="single"/>
        </w:rPr>
        <w:t xml:space="preserve">  (1933) 218 Cal. 17, 19 [21 P.2d 428]</w:t>
      </w:r>
      <w:r>
        <w:rPr>
          <w:color w:val="000000"/>
        </w:rPr>
        <w:t>;</w:t>
      </w:r>
    </w:p>
    <w:p w:rsidR="00491B30" w:rsidRDefault="00BA5DC6">
      <w:pPr>
        <w:spacing w:before="1" w:line="259" w:lineRule="exact"/>
        <w:ind w:left="898"/>
        <w:rPr>
          <w:color w:val="0000FF"/>
          <w:spacing w:val="-5"/>
          <w:u w:val="single"/>
        </w:rPr>
      </w:pPr>
      <w:r>
        <w:rPr>
          <w:rFonts w:ascii="Times New Roman Italic" w:hAnsi="Times New Roman Italic"/>
          <w:color w:val="0000FF"/>
          <w:spacing w:val="-5"/>
          <w:u w:val="single"/>
        </w:rPr>
        <w:t xml:space="preserve"> Ferguson v. Koch</w:t>
      </w:r>
      <w:r>
        <w:rPr>
          <w:color w:val="0000FF"/>
          <w:spacing w:val="-5"/>
          <w:u w:val="single"/>
        </w:rPr>
        <w:t xml:space="preserve">  (1928) 204 Cal. 342, 347 [268</w:t>
      </w:r>
    </w:p>
    <w:p w:rsidR="00491B30" w:rsidRDefault="00BA5DC6">
      <w:pPr>
        <w:spacing w:line="259" w:lineRule="exact"/>
        <w:ind w:left="898"/>
        <w:jc w:val="both"/>
        <w:rPr>
          <w:rFonts w:ascii="Times New Roman Italic" w:hAnsi="Times New Roman Italic"/>
          <w:color w:val="0000FF"/>
          <w:u w:val="single"/>
        </w:rPr>
      </w:pPr>
      <w:r>
        <w:rPr>
          <w:color w:val="0000FF"/>
          <w:spacing w:val="-1"/>
          <w:u w:val="single"/>
        </w:rPr>
        <w:t>P. 342]</w:t>
      </w:r>
      <w:r>
        <w:rPr>
          <w:color w:val="000000"/>
          <w:spacing w:val="-1"/>
        </w:rPr>
        <w:t>;</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Mooney v. Cyriacks</w:t>
      </w:r>
      <w:r>
        <w:rPr>
          <w:color w:val="0000FF"/>
          <w:spacing w:val="-1"/>
          <w:u w:val="single"/>
        </w:rPr>
        <w:t xml:space="preserve">  (1921) 185 Cal. </w:t>
      </w:r>
      <w:r>
        <w:rPr>
          <w:color w:val="0000FF"/>
          <w:spacing w:val="-3"/>
          <w:u w:val="single"/>
        </w:rPr>
        <w:t>70, 80 [195 P. 922]</w:t>
      </w:r>
      <w:r>
        <w:rPr>
          <w:color w:val="000000"/>
          <w:spacing w:val="-3"/>
        </w:rPr>
        <w:t>;</w:t>
      </w:r>
      <w:r>
        <w:rPr>
          <w:rFonts w:ascii="Times New Roman Italic" w:hAnsi="Times New Roman Italic"/>
          <w:color w:val="0000FF"/>
          <w:spacing w:val="-3"/>
        </w:rPr>
        <w:t xml:space="preserve"> </w:t>
      </w:r>
      <w:r>
        <w:rPr>
          <w:rFonts w:ascii="Times New Roman Italic" w:hAnsi="Times New Roman Italic"/>
          <w:color w:val="0000FF"/>
          <w:spacing w:val="-3"/>
          <w:u w:val="single"/>
        </w:rPr>
        <w:t xml:space="preserve"> Maxson v. Llewelyn</w:t>
      </w:r>
      <w:r>
        <w:rPr>
          <w:color w:val="0000FF"/>
          <w:spacing w:val="-3"/>
          <w:u w:val="single"/>
        </w:rPr>
        <w:t xml:space="preserve">  (1898) </w:t>
      </w:r>
      <w:r>
        <w:rPr>
          <w:color w:val="0000FF"/>
          <w:u w:val="single"/>
        </w:rPr>
        <w:t>122 Cal. 195, 199 [54 P. 732]</w:t>
      </w:r>
      <w:r>
        <w:rPr>
          <w:color w:val="000000"/>
        </w:rPr>
        <w:t>;</w:t>
      </w:r>
      <w:r>
        <w:rPr>
          <w:rFonts w:ascii="Times New Roman Italic" w:hAnsi="Times New Roman Italic"/>
          <w:color w:val="0000FF"/>
        </w:rPr>
        <w:t xml:space="preserve"> </w:t>
      </w:r>
      <w:r>
        <w:rPr>
          <w:rFonts w:ascii="Times New Roman Italic" w:hAnsi="Times New Roman Italic"/>
          <w:color w:val="0000FF"/>
          <w:u w:val="single"/>
        </w:rPr>
        <w:t xml:space="preserve"> Hays v.</w:t>
      </w:r>
    </w:p>
    <w:p w:rsidR="00491B30" w:rsidRDefault="00BA5DC6">
      <w:pPr>
        <w:spacing w:before="1" w:line="259" w:lineRule="exact"/>
        <w:ind w:left="898"/>
        <w:rPr>
          <w:color w:val="000000"/>
        </w:rPr>
      </w:pPr>
      <w:r>
        <w:rPr>
          <w:rFonts w:ascii="Times New Roman Italic" w:hAnsi="Times New Roman Italic"/>
          <w:color w:val="0000FF"/>
          <w:spacing w:val="-6"/>
          <w:u w:val="single"/>
        </w:rPr>
        <w:t>Gloster</w:t>
      </w:r>
      <w:r>
        <w:rPr>
          <w:color w:val="0000FF"/>
          <w:spacing w:val="-6"/>
          <w:u w:val="single"/>
        </w:rPr>
        <w:t xml:space="preserve">  (1891) 88 Cal. 560, 565 [26 P. 367]</w:t>
      </w:r>
      <w:r>
        <w:rPr>
          <w:color w:val="000000"/>
          <w:spacing w:val="-6"/>
        </w:rPr>
        <w:t>;</w:t>
      </w:r>
      <w:r>
        <w:rPr>
          <w:rFonts w:ascii="Times New Roman Italic" w:hAnsi="Times New Roman Italic"/>
          <w:color w:val="0000FF"/>
          <w:spacing w:val="-6"/>
        </w:rPr>
        <w:t xml:space="preserve"> </w:t>
      </w:r>
      <w:r>
        <w:rPr>
          <w:rFonts w:ascii="Times New Roman Italic" w:hAnsi="Times New Roman Italic"/>
          <w:color w:val="0000FF"/>
          <w:spacing w:val="-6"/>
          <w:u w:val="single"/>
        </w:rPr>
        <w:t xml:space="preserve"> Bri-</w:t>
      </w:r>
      <w:r>
        <w:rPr>
          <w:rFonts w:ascii="Times New Roman Italic" w:hAnsi="Times New Roman Italic"/>
          <w:color w:val="0000FF"/>
          <w:spacing w:val="-6"/>
          <w:u w:val="single"/>
        </w:rPr>
        <w:br/>
      </w:r>
      <w:r>
        <w:rPr>
          <w:rFonts w:ascii="Times New Roman Italic" w:hAnsi="Times New Roman Italic"/>
          <w:color w:val="0000FF"/>
          <w:u w:val="single"/>
        </w:rPr>
        <w:t>son v. Brison</w:t>
      </w:r>
      <w:r>
        <w:rPr>
          <w:color w:val="0000FF"/>
          <w:u w:val="single"/>
        </w:rPr>
        <w:t xml:space="preserve">  (1888) 75 Cal. 525, 528 [17 P. </w:t>
      </w:r>
      <w:r>
        <w:rPr>
          <w:color w:val="0000FF"/>
          <w:u w:val="single"/>
        </w:rPr>
        <w:br/>
      </w:r>
      <w:r>
        <w:rPr>
          <w:color w:val="0000FF"/>
          <w:spacing w:val="-4"/>
          <w:u w:val="single"/>
        </w:rPr>
        <w:t>689]</w:t>
      </w:r>
      <w:r>
        <w:rPr>
          <w:color w:val="000000"/>
          <w:spacing w:val="-4"/>
        </w:rPr>
        <w:t xml:space="preserve">; see 10 Cal.Jur. (1923) Evidence § 203, pp. </w:t>
      </w:r>
      <w:r>
        <w:rPr>
          <w:color w:val="000000"/>
          <w:spacing w:val="-4"/>
        </w:rPr>
        <w:br/>
      </w:r>
      <w:r>
        <w:rPr>
          <w:color w:val="000000"/>
          <w:w w:val="101"/>
        </w:rPr>
        <w:t>937-938; Sweet,</w:t>
      </w:r>
      <w:r>
        <w:rPr>
          <w:rFonts w:ascii="Times New Roman Italic" w:hAnsi="Times New Roman Italic"/>
          <w:color w:val="000000"/>
          <w:w w:val="101"/>
        </w:rPr>
        <w:t xml:space="preserve"> supra</w:t>
      </w:r>
      <w:r>
        <w:rPr>
          <w:color w:val="000000"/>
          <w:w w:val="101"/>
        </w:rPr>
        <w:t xml:space="preserve">, 49 Cal. L.Rev. at pp. </w:t>
      </w:r>
      <w:r>
        <w:rPr>
          <w:color w:val="000000"/>
          <w:w w:val="101"/>
        </w:rPr>
        <w:br/>
      </w:r>
      <w:r>
        <w:rPr>
          <w:color w:val="000000"/>
          <w:spacing w:val="-3"/>
        </w:rPr>
        <w:t>880-882.) As the</w:t>
      </w:r>
      <w:r>
        <w:rPr>
          <w:rFonts w:ascii="Times New Roman Italic" w:hAnsi="Times New Roman Italic"/>
          <w:color w:val="000000"/>
          <w:spacing w:val="-3"/>
        </w:rPr>
        <w:t xml:space="preserve"> Ferguson</w:t>
      </w:r>
      <w:r>
        <w:rPr>
          <w:color w:val="000000"/>
          <w:spacing w:val="-3"/>
        </w:rPr>
        <w:t xml:space="preserve"> court declared, “Pa-</w:t>
      </w:r>
      <w:r>
        <w:rPr>
          <w:color w:val="000000"/>
          <w:spacing w:val="-3"/>
        </w:rPr>
        <w:br/>
      </w:r>
      <w:r>
        <w:rPr>
          <w:color w:val="000000"/>
        </w:rPr>
        <w:t xml:space="preserve">rol evidence is </w:t>
      </w:r>
      <w:r>
        <w:rPr>
          <w:color w:val="000000"/>
        </w:rPr>
        <w:t>always admissible to prove</w:t>
      </w:r>
    </w:p>
    <w:p w:rsidR="00491B30" w:rsidRDefault="00BA5DC6">
      <w:pPr>
        <w:spacing w:line="259" w:lineRule="exact"/>
        <w:ind w:left="898"/>
        <w:rPr>
          <w:rFonts w:ascii="Times New Roman Bold" w:hAnsi="Times New Roman Bold"/>
          <w:color w:val="000000"/>
          <w:spacing w:val="-5"/>
        </w:rPr>
      </w:pPr>
      <w:r>
        <w:rPr>
          <w:color w:val="000000"/>
        </w:rPr>
        <w:t xml:space="preserve">fraud, and it was never intended that  </w:t>
      </w:r>
      <w:r>
        <w:rPr>
          <w:rFonts w:ascii="Times New Roman Bold" w:hAnsi="Times New Roman Bold"/>
          <w:color w:val="000000"/>
          <w:spacing w:val="-5"/>
        </w:rPr>
        <w:t>[*1181]</w:t>
      </w:r>
    </w:p>
    <w:p w:rsidR="00491B30" w:rsidRDefault="00BA5DC6">
      <w:pPr>
        <w:spacing w:before="1" w:line="259" w:lineRule="exact"/>
        <w:ind w:left="898" w:right="36"/>
        <w:jc w:val="both"/>
        <w:rPr>
          <w:color w:val="000000"/>
          <w:w w:val="101"/>
        </w:rPr>
      </w:pPr>
      <w:r>
        <w:rPr>
          <w:color w:val="000000"/>
          <w:w w:val="101"/>
        </w:rPr>
        <w:t xml:space="preserve">the parol evidence rule should be used as a </w:t>
      </w:r>
      <w:r>
        <w:rPr>
          <w:color w:val="000000"/>
        </w:rPr>
        <w:t>shield to prevent the proof of fraud.” (</w:t>
      </w:r>
      <w:r>
        <w:rPr>
          <w:rFonts w:ascii="Times New Roman Italic" w:hAnsi="Times New Roman Italic"/>
          <w:color w:val="0000FF"/>
          <w:u w:val="single"/>
        </w:rPr>
        <w:t xml:space="preserve"> Fergu-</w:t>
      </w:r>
      <w:r>
        <w:rPr>
          <w:rFonts w:ascii="Times New Roman Italic" w:hAnsi="Times New Roman Italic"/>
          <w:color w:val="0000FF"/>
          <w:u w:val="single"/>
        </w:rPr>
        <w:br/>
      </w:r>
      <w:r>
        <w:rPr>
          <w:rFonts w:ascii="Times New Roman Italic" w:hAnsi="Times New Roman Italic"/>
          <w:color w:val="0000FF"/>
          <w:w w:val="101"/>
          <w:u w:val="single"/>
        </w:rPr>
        <w:t>son, supra</w:t>
      </w:r>
      <w:r>
        <w:rPr>
          <w:color w:val="0000FF"/>
          <w:w w:val="101"/>
          <w:u w:val="single"/>
        </w:rPr>
        <w:t xml:space="preserve"> , 204 Cal. at p. 347</w:t>
      </w:r>
      <w:r>
        <w:rPr>
          <w:color w:val="000000"/>
          <w:w w:val="101"/>
        </w:rPr>
        <w:t>.)</w:t>
      </w:r>
    </w:p>
    <w:p w:rsidR="00491B30" w:rsidRDefault="00BA5DC6">
      <w:pPr>
        <w:spacing w:before="200" w:line="259" w:lineRule="exact"/>
        <w:ind w:left="898" w:right="82"/>
        <w:jc w:val="both"/>
        <w:rPr>
          <w:color w:val="000000"/>
          <w:w w:val="106"/>
        </w:rPr>
      </w:pPr>
      <w:r>
        <w:rPr>
          <w:color w:val="000000"/>
          <w:spacing w:val="-1"/>
        </w:rPr>
        <w:t>Historically, this unconditional rule was ap-</w:t>
      </w:r>
      <w:r>
        <w:rPr>
          <w:color w:val="000000"/>
          <w:spacing w:val="-1"/>
        </w:rPr>
        <w:br/>
      </w:r>
      <w:r>
        <w:rPr>
          <w:color w:val="000000"/>
          <w:w w:val="106"/>
        </w:rPr>
        <w:t xml:space="preserve">plied in </w:t>
      </w:r>
      <w:r>
        <w:rPr>
          <w:color w:val="000000"/>
          <w:w w:val="106"/>
        </w:rPr>
        <w:t>cases of promissory fraud. For in-</w:t>
      </w:r>
    </w:p>
    <w:p w:rsidR="00491B30" w:rsidRDefault="00BA5DC6">
      <w:pPr>
        <w:spacing w:line="259" w:lineRule="exact"/>
        <w:ind w:left="898"/>
        <w:rPr>
          <w:color w:val="000000"/>
        </w:rPr>
      </w:pPr>
      <w:r>
        <w:rPr>
          <w:color w:val="000000"/>
          <w:spacing w:val="-3"/>
        </w:rPr>
        <w:t>stance, in</w:t>
      </w:r>
      <w:r>
        <w:rPr>
          <w:rFonts w:ascii="Times New Roman Italic" w:hAnsi="Times New Roman Italic"/>
          <w:color w:val="0000FF"/>
          <w:spacing w:val="-3"/>
        </w:rPr>
        <w:t xml:space="preserve"> </w:t>
      </w:r>
      <w:r>
        <w:rPr>
          <w:rFonts w:ascii="Times New Roman Italic" w:hAnsi="Times New Roman Italic"/>
          <w:color w:val="0000FF"/>
          <w:spacing w:val="-3"/>
          <w:u w:val="single"/>
        </w:rPr>
        <w:t xml:space="preserve"> Langley v. Rodriguez</w:t>
      </w:r>
      <w:r>
        <w:rPr>
          <w:color w:val="0000FF"/>
          <w:spacing w:val="-3"/>
          <w:u w:val="single"/>
        </w:rPr>
        <w:t xml:space="preserve">  (1898) 122 Cal. </w:t>
      </w:r>
      <w:r>
        <w:rPr>
          <w:color w:val="0000FF"/>
          <w:u w:val="single"/>
        </w:rPr>
        <w:t>580 [55 P. 406]</w:t>
      </w:r>
      <w:r>
        <w:rPr>
          <w:color w:val="000000"/>
        </w:rPr>
        <w:t>, the trial court excluded evi-</w:t>
      </w:r>
      <w:r>
        <w:rPr>
          <w:color w:val="000000"/>
        </w:rPr>
        <w:br/>
      </w:r>
      <w:r>
        <w:rPr>
          <w:color w:val="000000"/>
          <w:w w:val="101"/>
        </w:rPr>
        <w:t xml:space="preserve">dence of an oral </w:t>
      </w:r>
      <w:r>
        <w:rPr>
          <w:rFonts w:ascii="Times New Roman Bold" w:hAnsi="Times New Roman Bold"/>
          <w:color w:val="000000"/>
        </w:rPr>
        <w:t>[**24]</w:t>
      </w:r>
      <w:r>
        <w:rPr>
          <w:color w:val="000000"/>
        </w:rPr>
        <w:t xml:space="preserve"> promise by a packing</w:t>
      </w:r>
    </w:p>
    <w:p w:rsidR="00491B30" w:rsidRDefault="00BA5DC6">
      <w:pPr>
        <w:spacing w:line="180" w:lineRule="exact"/>
        <w:ind w:left="20"/>
        <w:rPr>
          <w:color w:val="000000"/>
          <w:sz w:val="20"/>
        </w:rPr>
      </w:pPr>
      <w:r>
        <w:rPr>
          <w:color w:val="000000"/>
        </w:rPr>
        <w:br w:type="column"/>
      </w:r>
      <w:r>
        <w:rPr>
          <w:color w:val="000000"/>
          <w:sz w:val="20"/>
        </w:rPr>
        <w:lastRenderedPageBreak/>
        <w:t>2013 Cal. LEXIS 253, **21</w:t>
      </w:r>
    </w:p>
    <w:p w:rsidR="00491B30" w:rsidRDefault="00491B30">
      <w:pPr>
        <w:spacing w:line="259" w:lineRule="exact"/>
        <w:ind w:left="5807"/>
        <w:jc w:val="both"/>
        <w:rPr>
          <w:color w:val="000000"/>
          <w:sz w:val="20"/>
        </w:rPr>
      </w:pPr>
    </w:p>
    <w:p w:rsidR="00491B30" w:rsidRDefault="00491B30">
      <w:pPr>
        <w:spacing w:line="259" w:lineRule="exact"/>
        <w:ind w:left="5807"/>
        <w:jc w:val="both"/>
        <w:rPr>
          <w:color w:val="000000"/>
          <w:sz w:val="20"/>
        </w:rPr>
      </w:pPr>
    </w:p>
    <w:p w:rsidR="00491B30" w:rsidRDefault="00BA5DC6">
      <w:pPr>
        <w:spacing w:before="9" w:line="259" w:lineRule="exact"/>
        <w:ind w:left="191" w:right="647"/>
        <w:jc w:val="both"/>
        <w:rPr>
          <w:color w:val="000000"/>
        </w:rPr>
      </w:pPr>
      <w:r>
        <w:rPr>
          <w:color w:val="000000"/>
        </w:rPr>
        <w:t xml:space="preserve">company agent to make an advance payment </w:t>
      </w:r>
      <w:r>
        <w:rPr>
          <w:color w:val="000000"/>
        </w:rPr>
        <w:br/>
      </w:r>
      <w:r>
        <w:rPr>
          <w:color w:val="000000"/>
        </w:rPr>
        <w:t xml:space="preserve">to a grower. This court reversed, stating: “The </w:t>
      </w:r>
      <w:r>
        <w:rPr>
          <w:color w:val="000000"/>
        </w:rPr>
        <w:br/>
      </w:r>
      <w:r>
        <w:rPr>
          <w:color w:val="000000"/>
          <w:w w:val="103"/>
        </w:rPr>
        <w:t xml:space="preserve">oral promise to pay part of the agreed price in </w:t>
      </w:r>
      <w:r>
        <w:rPr>
          <w:color w:val="000000"/>
          <w:w w:val="103"/>
        </w:rPr>
        <w:br/>
      </w:r>
      <w:r>
        <w:rPr>
          <w:color w:val="000000"/>
          <w:w w:val="101"/>
        </w:rPr>
        <w:t>advance of the curing of the crop was in con-</w:t>
      </w:r>
      <w:r>
        <w:rPr>
          <w:color w:val="000000"/>
          <w:w w:val="101"/>
        </w:rPr>
        <w:br/>
      </w:r>
      <w:r>
        <w:rPr>
          <w:color w:val="000000"/>
          <w:w w:val="103"/>
        </w:rPr>
        <w:t xml:space="preserve">flict with the provision of the written contract </w:t>
      </w:r>
      <w:r>
        <w:rPr>
          <w:color w:val="000000"/>
          <w:w w:val="103"/>
        </w:rPr>
        <w:br/>
      </w:r>
      <w:r>
        <w:rPr>
          <w:color w:val="000000"/>
        </w:rPr>
        <w:t>that payment would be made on delivery of</w:t>
      </w:r>
    </w:p>
    <w:p w:rsidR="00491B30" w:rsidRDefault="00BA5DC6">
      <w:pPr>
        <w:spacing w:line="259" w:lineRule="exact"/>
        <w:ind w:left="191" w:right="639"/>
        <w:jc w:val="both"/>
        <w:rPr>
          <w:color w:val="000000"/>
        </w:rPr>
      </w:pPr>
      <w:r>
        <w:rPr>
          <w:color w:val="000000"/>
          <w:spacing w:val="-3"/>
        </w:rPr>
        <w:t xml:space="preserve">the raisins at the </w:t>
      </w:r>
      <w:r>
        <w:rPr>
          <w:color w:val="000000"/>
          <w:spacing w:val="-3"/>
        </w:rPr>
        <w:t>packing-house, and if the prom-</w:t>
      </w:r>
      <w:r>
        <w:rPr>
          <w:color w:val="000000"/>
          <w:spacing w:val="-3"/>
        </w:rPr>
        <w:br/>
      </w:r>
      <w:r>
        <w:rPr>
          <w:color w:val="000000"/>
        </w:rPr>
        <w:t>ise was honestly made it was undoubtedly</w:t>
      </w:r>
    </w:p>
    <w:p w:rsidR="00491B30" w:rsidRDefault="00BA5DC6">
      <w:pPr>
        <w:spacing w:before="1" w:line="259" w:lineRule="exact"/>
        <w:ind w:left="191" w:right="639"/>
        <w:jc w:val="both"/>
        <w:rPr>
          <w:color w:val="000000"/>
        </w:rPr>
      </w:pPr>
      <w:r>
        <w:rPr>
          <w:color w:val="000000"/>
        </w:rPr>
        <w:t>within the rule forbidding proof of a contempo-</w:t>
      </w:r>
      <w:r>
        <w:rPr>
          <w:color w:val="000000"/>
        </w:rPr>
        <w:br/>
        <w:t>raneous or prior oral agreement to detract</w:t>
      </w:r>
    </w:p>
    <w:p w:rsidR="00491B30" w:rsidRDefault="00BA5DC6">
      <w:pPr>
        <w:spacing w:before="1" w:line="259" w:lineRule="exact"/>
        <w:ind w:left="191" w:right="760"/>
        <w:rPr>
          <w:color w:val="000000"/>
          <w:w w:val="103"/>
        </w:rPr>
      </w:pPr>
      <w:r>
        <w:rPr>
          <w:color w:val="000000"/>
          <w:w w:val="101"/>
        </w:rPr>
        <w:t xml:space="preserve">from the terms of a contract in writing. The </w:t>
      </w:r>
      <w:r>
        <w:rPr>
          <w:color w:val="000000"/>
          <w:w w:val="101"/>
        </w:rPr>
        <w:br/>
      </w:r>
      <w:r>
        <w:rPr>
          <w:color w:val="000000"/>
          <w:w w:val="105"/>
        </w:rPr>
        <w:t xml:space="preserve">rule cannot be avoided by showing that the </w:t>
      </w:r>
      <w:r>
        <w:rPr>
          <w:color w:val="000000"/>
          <w:w w:val="105"/>
        </w:rPr>
        <w:br/>
      </w:r>
      <w:r>
        <w:rPr>
          <w:color w:val="000000"/>
          <w:w w:val="103"/>
        </w:rPr>
        <w:t>pr</w:t>
      </w:r>
      <w:r>
        <w:rPr>
          <w:color w:val="000000"/>
          <w:w w:val="103"/>
        </w:rPr>
        <w:t>omise outside the writing has been broken;</w:t>
      </w:r>
    </w:p>
    <w:p w:rsidR="00491B30" w:rsidRDefault="00BA5DC6">
      <w:pPr>
        <w:spacing w:line="259" w:lineRule="exact"/>
        <w:ind w:left="191" w:right="640"/>
        <w:jc w:val="both"/>
        <w:rPr>
          <w:color w:val="000000"/>
        </w:rPr>
      </w:pPr>
      <w:r>
        <w:rPr>
          <w:color w:val="000000"/>
          <w:w w:val="103"/>
        </w:rPr>
        <w:t xml:space="preserve">such breach in itself does not constitute fraud. </w:t>
      </w:r>
      <w:r>
        <w:rPr>
          <w:color w:val="000000"/>
          <w:w w:val="103"/>
        </w:rPr>
        <w:br/>
      </w:r>
      <w:r>
        <w:rPr>
          <w:color w:val="000000"/>
          <w:spacing w:val="-4"/>
        </w:rPr>
        <w:t>[Citations.] But a promise made without any in-</w:t>
      </w:r>
      <w:r>
        <w:rPr>
          <w:color w:val="000000"/>
          <w:spacing w:val="-4"/>
        </w:rPr>
        <w:br/>
        <w:t>tention of performing it is one of the forms of ac-</w:t>
      </w:r>
      <w:r>
        <w:rPr>
          <w:color w:val="000000"/>
          <w:spacing w:val="-4"/>
        </w:rPr>
        <w:br/>
      </w:r>
      <w:r>
        <w:rPr>
          <w:color w:val="000000"/>
        </w:rPr>
        <w:t>tual fraud (</w:t>
      </w:r>
      <w:r>
        <w:rPr>
          <w:rFonts w:ascii="Times New Roman Italic" w:hAnsi="Times New Roman Italic"/>
          <w:color w:val="0000FF"/>
          <w:u w:val="single"/>
        </w:rPr>
        <w:t xml:space="preserve"> Civ. Code, sec. 1572</w:t>
      </w:r>
      <w:r>
        <w:rPr>
          <w:color w:val="000000"/>
        </w:rPr>
        <w:t>); and cases</w:t>
      </w:r>
    </w:p>
    <w:p w:rsidR="00491B30" w:rsidRDefault="00BA5DC6">
      <w:pPr>
        <w:spacing w:before="1" w:line="259" w:lineRule="exact"/>
        <w:ind w:left="191" w:right="639"/>
        <w:jc w:val="both"/>
        <w:rPr>
          <w:color w:val="000000"/>
        </w:rPr>
      </w:pPr>
      <w:r>
        <w:rPr>
          <w:color w:val="000000"/>
        </w:rPr>
        <w:t xml:space="preserve">are not </w:t>
      </w:r>
      <w:r>
        <w:rPr>
          <w:color w:val="000000"/>
        </w:rPr>
        <w:t>infrequent where relief against a con-</w:t>
      </w:r>
      <w:r>
        <w:rPr>
          <w:color w:val="000000"/>
        </w:rPr>
        <w:br/>
      </w:r>
      <w:r>
        <w:rPr>
          <w:color w:val="000000"/>
          <w:spacing w:val="-1"/>
        </w:rPr>
        <w:t xml:space="preserve">tract reduced to writing has been granted on the </w:t>
      </w:r>
      <w:r>
        <w:rPr>
          <w:color w:val="000000"/>
        </w:rPr>
        <w:t>ground that its execution was procured by</w:t>
      </w:r>
    </w:p>
    <w:p w:rsidR="00491B30" w:rsidRDefault="00BA5DC6">
      <w:pPr>
        <w:spacing w:line="259" w:lineRule="exact"/>
        <w:ind w:left="191" w:right="639"/>
        <w:jc w:val="both"/>
        <w:rPr>
          <w:color w:val="000000"/>
        </w:rPr>
      </w:pPr>
      <w:r>
        <w:rPr>
          <w:color w:val="000000"/>
          <w:spacing w:val="-3"/>
        </w:rPr>
        <w:t>means of oral promises fraudulent in the particu-</w:t>
      </w:r>
      <w:r>
        <w:rPr>
          <w:color w:val="000000"/>
          <w:spacing w:val="-3"/>
        </w:rPr>
        <w:br/>
      </w:r>
      <w:r>
        <w:rPr>
          <w:color w:val="000000"/>
        </w:rPr>
        <w:t>lar mentioned, however variant from the</w:t>
      </w:r>
    </w:p>
    <w:p w:rsidR="00491B30" w:rsidRDefault="00BA5DC6">
      <w:pPr>
        <w:spacing w:before="1" w:line="259" w:lineRule="exact"/>
        <w:ind w:left="191" w:right="639"/>
        <w:rPr>
          <w:color w:val="0000FF"/>
          <w:spacing w:val="-1"/>
          <w:u w:val="single"/>
        </w:rPr>
      </w:pPr>
      <w:r>
        <w:rPr>
          <w:color w:val="000000"/>
        </w:rPr>
        <w:t>terms of the written engagement into</w:t>
      </w:r>
      <w:r>
        <w:rPr>
          <w:color w:val="000000"/>
        </w:rPr>
        <w:t xml:space="preserve"> which </w:t>
      </w:r>
      <w:r>
        <w:rPr>
          <w:color w:val="000000"/>
          <w:spacing w:val="-3"/>
        </w:rPr>
        <w:t>they were the means of inveigling the party. [Ci-</w:t>
      </w:r>
      <w:r>
        <w:rPr>
          <w:color w:val="000000"/>
          <w:spacing w:val="-3"/>
        </w:rPr>
        <w:br/>
      </w:r>
      <w:r>
        <w:rPr>
          <w:color w:val="000000"/>
          <w:spacing w:val="-1"/>
        </w:rPr>
        <w:t>tations.]” (</w:t>
      </w:r>
      <w:r>
        <w:rPr>
          <w:rFonts w:ascii="Times New Roman Italic" w:hAnsi="Times New Roman Italic"/>
          <w:color w:val="0000FF"/>
          <w:spacing w:val="-1"/>
          <w:u w:val="single"/>
        </w:rPr>
        <w:t xml:space="preserve"> Langley, supra</w:t>
      </w:r>
      <w:r>
        <w:rPr>
          <w:color w:val="0000FF"/>
          <w:spacing w:val="-1"/>
          <w:u w:val="single"/>
        </w:rPr>
        <w:t xml:space="preserve"> , 122 Cal. at pp. 581-</w:t>
      </w:r>
      <w:r>
        <w:rPr>
          <w:color w:val="0000FF"/>
          <w:spacing w:val="-1"/>
          <w:u w:val="single"/>
        </w:rPr>
        <w:br/>
        <w:t>582</w:t>
      </w:r>
      <w:r>
        <w:rPr>
          <w:color w:val="000000"/>
          <w:spacing w:val="-1"/>
        </w:rPr>
        <w:t>; see, e.g.,</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Hays v. Gloster, supra</w:t>
      </w:r>
      <w:r>
        <w:rPr>
          <w:color w:val="0000FF"/>
          <w:spacing w:val="-1"/>
          <w:u w:val="single"/>
        </w:rPr>
        <w:t xml:space="preserve"> , 88 </w:t>
      </w:r>
      <w:r>
        <w:rPr>
          <w:color w:val="0000FF"/>
          <w:spacing w:val="-1"/>
          <w:u w:val="single"/>
        </w:rPr>
        <w:br/>
      </w:r>
      <w:r>
        <w:rPr>
          <w:color w:val="0000FF"/>
          <w:w w:val="101"/>
          <w:u w:val="single"/>
        </w:rPr>
        <w:t>Cal. at p. 565</w:t>
      </w:r>
      <w:r>
        <w:rPr>
          <w:color w:val="000000"/>
          <w:w w:val="101"/>
        </w:rPr>
        <w:t xml:space="preserve">; </w:t>
      </w:r>
      <w:r>
        <w:rPr>
          <w:rFonts w:ascii="Times New Roman Bold" w:hAnsi="Times New Roman Bold"/>
          <w:color w:val="000000"/>
          <w:spacing w:val="-1"/>
        </w:rPr>
        <w:t>[**25]</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Brison v. Brison, supra</w:t>
      </w:r>
      <w:r>
        <w:rPr>
          <w:color w:val="0000FF"/>
          <w:spacing w:val="-1"/>
          <w:u w:val="single"/>
        </w:rPr>
        <w:t xml:space="preserve"> ,</w:t>
      </w:r>
    </w:p>
    <w:p w:rsidR="00491B30" w:rsidRDefault="00BA5DC6">
      <w:pPr>
        <w:spacing w:line="259" w:lineRule="exact"/>
        <w:ind w:left="191"/>
        <w:rPr>
          <w:color w:val="000000"/>
          <w:w w:val="102"/>
        </w:rPr>
      </w:pPr>
      <w:r>
        <w:rPr>
          <w:color w:val="0000FF"/>
          <w:w w:val="102"/>
          <w:u w:val="single"/>
        </w:rPr>
        <w:t>75 Cal. at p. 528</w:t>
      </w:r>
      <w:r>
        <w:rPr>
          <w:color w:val="000000"/>
          <w:w w:val="102"/>
        </w:rPr>
        <w:t>.)</w:t>
      </w:r>
    </w:p>
    <w:p w:rsidR="00491B30" w:rsidRDefault="00BA5DC6">
      <w:pPr>
        <w:spacing w:before="200" w:line="259" w:lineRule="exact"/>
        <w:ind w:left="191" w:right="649"/>
        <w:jc w:val="both"/>
        <w:rPr>
          <w:color w:val="000000"/>
          <w:w w:val="102"/>
        </w:rPr>
      </w:pPr>
      <w:r>
        <w:rPr>
          <w:color w:val="000000"/>
          <w:spacing w:val="-1"/>
        </w:rPr>
        <w:t>Interestingly, two years after</w:t>
      </w:r>
      <w:r>
        <w:rPr>
          <w:rFonts w:ascii="Times New Roman Italic" w:hAnsi="Times New Roman Italic"/>
          <w:color w:val="000000"/>
          <w:spacing w:val="-1"/>
        </w:rPr>
        <w:t xml:space="preserve"> Pendergrass</w:t>
      </w:r>
      <w:r>
        <w:rPr>
          <w:color w:val="000000"/>
          <w:spacing w:val="-1"/>
        </w:rPr>
        <w:t xml:space="preserve"> this </w:t>
      </w:r>
      <w:r>
        <w:rPr>
          <w:color w:val="000000"/>
          <w:spacing w:val="-1"/>
        </w:rPr>
        <w:br/>
      </w:r>
      <w:r>
        <w:rPr>
          <w:color w:val="000000"/>
          <w:w w:val="102"/>
        </w:rPr>
        <w:t>court fell back on the old rule in</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Fleury v. Ra-</w:t>
      </w:r>
      <w:r>
        <w:rPr>
          <w:rFonts w:ascii="Times New Roman Italic" w:hAnsi="Times New Roman Italic"/>
          <w:color w:val="0000FF"/>
          <w:w w:val="102"/>
          <w:u w:val="single"/>
        </w:rPr>
        <w:br/>
      </w:r>
      <w:r>
        <w:rPr>
          <w:rFonts w:ascii="Times New Roman Italic" w:hAnsi="Times New Roman Italic"/>
          <w:color w:val="0000FF"/>
          <w:u w:val="single"/>
        </w:rPr>
        <w:t>macciotti</w:t>
      </w:r>
      <w:r>
        <w:rPr>
          <w:color w:val="0000FF"/>
          <w:u w:val="single"/>
        </w:rPr>
        <w:t xml:space="preserve">  (1937) 8 Cal.2d 660 [67 P.2d 339]</w:t>
      </w:r>
      <w:r>
        <w:rPr>
          <w:color w:val="000000"/>
        </w:rPr>
        <w:t xml:space="preserve">, </w:t>
      </w:r>
      <w:r>
        <w:rPr>
          <w:color w:val="000000"/>
        </w:rPr>
        <w:br/>
      </w:r>
      <w:r>
        <w:rPr>
          <w:color w:val="000000"/>
          <w:w w:val="101"/>
        </w:rPr>
        <w:t>a promissory fraud case. Ramacciotti, a mort-</w:t>
      </w:r>
      <w:r>
        <w:rPr>
          <w:color w:val="000000"/>
          <w:w w:val="101"/>
        </w:rPr>
        <w:br/>
      </w:r>
      <w:r>
        <w:rPr>
          <w:color w:val="000000"/>
          <w:w w:val="104"/>
        </w:rPr>
        <w:t xml:space="preserve">gage debtor, claimed he had signed a renewal </w:t>
      </w:r>
      <w:r>
        <w:rPr>
          <w:color w:val="000000"/>
          <w:w w:val="104"/>
        </w:rPr>
        <w:br/>
      </w:r>
      <w:r>
        <w:rPr>
          <w:color w:val="000000"/>
          <w:spacing w:val="-4"/>
        </w:rPr>
        <w:t xml:space="preserve">note without reading it, relying on a false </w:t>
      </w:r>
      <w:r>
        <w:rPr>
          <w:color w:val="000000"/>
          <w:spacing w:val="-4"/>
        </w:rPr>
        <w:t>prom-</w:t>
      </w:r>
      <w:r>
        <w:rPr>
          <w:color w:val="000000"/>
          <w:spacing w:val="-4"/>
        </w:rPr>
        <w:br/>
      </w:r>
      <w:r>
        <w:rPr>
          <w:color w:val="000000"/>
          <w:w w:val="102"/>
        </w:rPr>
        <w:t xml:space="preserve">ise that the note included a provision barring a </w:t>
      </w:r>
    </w:p>
    <w:p w:rsidR="00491B30" w:rsidRDefault="00491B30">
      <w:pPr>
        <w:rPr>
          <w:color w:val="000000"/>
          <w:w w:val="102"/>
        </w:rPr>
        <w:sectPr w:rsidR="00491B30">
          <w:type w:val="continuous"/>
          <w:pgSz w:w="12220" w:h="15820"/>
          <w:pgMar w:top="431" w:right="431" w:bottom="431" w:left="431" w:header="720" w:footer="720" w:gutter="0"/>
          <w:cols w:num="2" w:space="720" w:equalWidth="0">
            <w:col w:w="5596" w:space="40"/>
            <w:col w:w="5580" w:space="160"/>
          </w:cols>
        </w:sectPr>
      </w:pPr>
    </w:p>
    <w:p w:rsidR="00491B30" w:rsidRDefault="00491B30">
      <w:pPr>
        <w:spacing w:line="220" w:lineRule="exact"/>
        <w:ind w:left="898"/>
        <w:jc w:val="both"/>
        <w:rPr>
          <w:color w:val="000000"/>
          <w:w w:val="102"/>
        </w:rPr>
      </w:pPr>
    </w:p>
    <w:p w:rsidR="00491B30" w:rsidRDefault="00BA5DC6">
      <w:pPr>
        <w:tabs>
          <w:tab w:val="left" w:pos="1148"/>
        </w:tabs>
        <w:spacing w:before="161" w:line="220" w:lineRule="exact"/>
        <w:ind w:left="898" w:right="741"/>
        <w:jc w:val="both"/>
        <w:rPr>
          <w:color w:val="000000"/>
          <w:spacing w:val="-1"/>
          <w:sz w:val="18"/>
        </w:rPr>
      </w:pPr>
      <w:r>
        <w:rPr>
          <w:color w:val="000000"/>
          <w:spacing w:val="-2"/>
          <w:position w:val="3"/>
          <w:sz w:val="12"/>
        </w:rPr>
        <w:t xml:space="preserve">9 </w:t>
      </w:r>
      <w:r>
        <w:rPr>
          <w:color w:val="000000"/>
          <w:spacing w:val="-2"/>
          <w:position w:val="3"/>
          <w:sz w:val="12"/>
        </w:rPr>
        <w:tab/>
      </w:r>
      <w:r>
        <w:rPr>
          <w:rFonts w:ascii="Times New Roman Bold Italic" w:hAnsi="Times New Roman Bold Italic"/>
          <w:color w:val="000000"/>
          <w:position w:val="-3"/>
          <w:sz w:val="18"/>
        </w:rPr>
        <w:t>HN8</w:t>
      </w:r>
      <w:r>
        <w:rPr>
          <w:color w:val="000000"/>
          <w:position w:val="-3"/>
          <w:sz w:val="18"/>
        </w:rPr>
        <w:t xml:space="preserve"> “ ‘The doctrine of stare decisis expresses a fundamental policy</w:t>
      </w:r>
      <w:r>
        <w:rPr>
          <w:rFonts w:ascii="Arial" w:hAnsi="Arial"/>
          <w:color w:val="000000"/>
          <w:position w:val="-3"/>
          <w:sz w:val="18"/>
        </w:rPr>
        <w:t xml:space="preserve"> …</w:t>
      </w:r>
      <w:r>
        <w:rPr>
          <w:color w:val="000000"/>
          <w:position w:val="-3"/>
          <w:sz w:val="18"/>
        </w:rPr>
        <w:t xml:space="preserve"> that a rule once declared in an appellate decision con-</w:t>
      </w:r>
      <w:r>
        <w:rPr>
          <w:color w:val="000000"/>
          <w:position w:val="-3"/>
          <w:sz w:val="18"/>
        </w:rPr>
        <w:br/>
      </w:r>
      <w:r>
        <w:rPr>
          <w:color w:val="000000"/>
          <w:sz w:val="18"/>
        </w:rPr>
        <w:t xml:space="preserve">stitutes a precedent which should </w:t>
      </w:r>
      <w:r>
        <w:rPr>
          <w:color w:val="000000"/>
          <w:sz w:val="18"/>
        </w:rPr>
        <w:t>normally be followed</w:t>
      </w:r>
      <w:r>
        <w:rPr>
          <w:rFonts w:ascii="Arial" w:hAnsi="Arial"/>
          <w:color w:val="000000"/>
          <w:sz w:val="18"/>
        </w:rPr>
        <w:t xml:space="preserve"> …</w:t>
      </w:r>
      <w:r>
        <w:rPr>
          <w:color w:val="000000"/>
          <w:sz w:val="18"/>
        </w:rPr>
        <w:t xml:space="preserve"> . It is based on the assumption that certainty, </w:t>
      </w:r>
      <w:r>
        <w:rPr>
          <w:rFonts w:ascii="Times New Roman Bold" w:hAnsi="Times New Roman Bold"/>
          <w:color w:val="000000"/>
          <w:spacing w:val="-1"/>
          <w:sz w:val="18"/>
        </w:rPr>
        <w:t>[**22]</w:t>
      </w:r>
      <w:r>
        <w:rPr>
          <w:color w:val="000000"/>
          <w:spacing w:val="-1"/>
          <w:sz w:val="18"/>
        </w:rPr>
        <w:t xml:space="preserve"> predictability </w:t>
      </w:r>
    </w:p>
    <w:p w:rsidR="00491B30" w:rsidRDefault="00BA5DC6">
      <w:pPr>
        <w:spacing w:before="1" w:line="195" w:lineRule="exact"/>
        <w:ind w:left="898"/>
        <w:rPr>
          <w:color w:val="000000"/>
          <w:sz w:val="18"/>
        </w:rPr>
      </w:pPr>
      <w:r>
        <w:rPr>
          <w:color w:val="000000"/>
          <w:sz w:val="18"/>
        </w:rPr>
        <w:t>and stability in the law are the major objectives of the legal system</w:t>
      </w:r>
      <w:r>
        <w:rPr>
          <w:rFonts w:ascii="Arial" w:hAnsi="Arial"/>
          <w:color w:val="000000"/>
          <w:sz w:val="18"/>
        </w:rPr>
        <w:t xml:space="preserve"> …</w:t>
      </w:r>
      <w:r>
        <w:rPr>
          <w:color w:val="000000"/>
          <w:sz w:val="18"/>
        </w:rPr>
        <w:t xml:space="preserve"> .’ (9 Witkin, Cal. Procedure (3d ed. 1985) Appeal, § 758, </w:t>
      </w:r>
    </w:p>
    <w:p w:rsidR="00491B30" w:rsidRDefault="00BA5DC6">
      <w:pPr>
        <w:spacing w:before="4" w:line="197" w:lineRule="exact"/>
        <w:ind w:left="898"/>
        <w:rPr>
          <w:color w:val="000000"/>
          <w:sz w:val="18"/>
        </w:rPr>
      </w:pPr>
      <w:r>
        <w:rPr>
          <w:color w:val="000000"/>
          <w:sz w:val="18"/>
        </w:rPr>
        <w:t>p. 726;</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Moradi-Shalal</w:t>
      </w:r>
      <w:r>
        <w:rPr>
          <w:color w:val="0000FF"/>
          <w:sz w:val="18"/>
          <w:u w:val="single"/>
        </w:rPr>
        <w:t xml:space="preserve">  v.</w:t>
      </w:r>
      <w:r>
        <w:rPr>
          <w:rFonts w:ascii="Times New Roman Italic" w:hAnsi="Times New Roman Italic"/>
          <w:color w:val="0000FF"/>
          <w:sz w:val="18"/>
          <w:u w:val="single"/>
        </w:rPr>
        <w:t xml:space="preserve">  Fireman’s Fund Ins. Companies</w:t>
      </w:r>
      <w:r>
        <w:rPr>
          <w:color w:val="0000FF"/>
          <w:sz w:val="18"/>
          <w:u w:val="single"/>
        </w:rPr>
        <w:t xml:space="preserve">  (1988) 46 Cal.3d 287, 296 [250 Cal. Rptr. 116, 758 P.2d 58]</w:t>
      </w:r>
      <w:r>
        <w:rPr>
          <w:color w:val="000000"/>
          <w:sz w:val="18"/>
        </w:rPr>
        <w:t xml:space="preserve">.) But, </w:t>
      </w:r>
    </w:p>
    <w:p w:rsidR="00491B30" w:rsidRDefault="00BA5DC6">
      <w:pPr>
        <w:spacing w:before="1" w:line="200" w:lineRule="exact"/>
        <w:ind w:left="898" w:right="802"/>
        <w:rPr>
          <w:color w:val="0000FF"/>
          <w:sz w:val="18"/>
          <w:u w:val="single"/>
        </w:rPr>
      </w:pPr>
      <w:r>
        <w:rPr>
          <w:color w:val="000000"/>
          <w:w w:val="102"/>
          <w:sz w:val="18"/>
        </w:rPr>
        <w:t>as Justice Frankfurter wrote, it equally is true that ‘ “ ‘[</w:t>
      </w:r>
      <w:r>
        <w:rPr>
          <w:rFonts w:ascii="Times New Roman Italic" w:hAnsi="Times New Roman Italic"/>
          <w:color w:val="000000"/>
          <w:w w:val="102"/>
          <w:sz w:val="18"/>
        </w:rPr>
        <w:t>s</w:t>
      </w:r>
      <w:r>
        <w:rPr>
          <w:color w:val="000000"/>
          <w:w w:val="102"/>
          <w:sz w:val="18"/>
        </w:rPr>
        <w:t>]</w:t>
      </w:r>
      <w:r>
        <w:rPr>
          <w:rFonts w:ascii="Times New Roman Italic" w:hAnsi="Times New Roman Italic"/>
          <w:color w:val="000000"/>
          <w:w w:val="102"/>
          <w:sz w:val="18"/>
        </w:rPr>
        <w:t>taredecisis</w:t>
      </w:r>
      <w:r>
        <w:rPr>
          <w:color w:val="000000"/>
          <w:w w:val="102"/>
          <w:sz w:val="18"/>
        </w:rPr>
        <w:t xml:space="preserve"> is a principle of policy and not a mechanical formula of ad-</w:t>
      </w:r>
      <w:r>
        <w:rPr>
          <w:color w:val="000000"/>
          <w:w w:val="102"/>
          <w:sz w:val="18"/>
        </w:rPr>
        <w:br/>
      </w:r>
      <w:r>
        <w:rPr>
          <w:color w:val="000000"/>
          <w:sz w:val="18"/>
        </w:rPr>
        <w:t>herence to the lates</w:t>
      </w:r>
      <w:r>
        <w:rPr>
          <w:color w:val="000000"/>
          <w:sz w:val="18"/>
        </w:rPr>
        <w:t xml:space="preserve">t decision, however recent and questionable, when such adherence involves collision with a prior doctrine </w:t>
      </w:r>
      <w:r>
        <w:rPr>
          <w:color w:val="000000"/>
          <w:sz w:val="18"/>
        </w:rPr>
        <w:br/>
        <w:t>more embracing in its scope, intrinsically sounder, and verified by experience.’ [Citations.]” ’ (</w:t>
      </w:r>
      <w:r>
        <w:rPr>
          <w:rFonts w:ascii="Times New Roman Italic" w:hAnsi="Times New Roman Italic"/>
          <w:color w:val="0000FF"/>
          <w:sz w:val="18"/>
          <w:u w:val="single"/>
        </w:rPr>
        <w:t xml:space="preserve"> Cianci</w:t>
      </w:r>
      <w:r>
        <w:rPr>
          <w:color w:val="0000FF"/>
          <w:sz w:val="18"/>
          <w:u w:val="single"/>
        </w:rPr>
        <w:t xml:space="preserve">  v.</w:t>
      </w:r>
      <w:r>
        <w:rPr>
          <w:rFonts w:ascii="Times New Roman Italic" w:hAnsi="Times New Roman Italic"/>
          <w:color w:val="0000FF"/>
          <w:sz w:val="18"/>
          <w:u w:val="single"/>
        </w:rPr>
        <w:t xml:space="preserve">  Superior Court</w:t>
      </w:r>
      <w:r>
        <w:rPr>
          <w:color w:val="0000FF"/>
          <w:sz w:val="18"/>
          <w:u w:val="single"/>
        </w:rPr>
        <w:t xml:space="preserve">  (1985) </w:t>
      </w:r>
    </w:p>
    <w:p w:rsidR="00491B30" w:rsidRDefault="00BA5DC6">
      <w:pPr>
        <w:spacing w:line="200" w:lineRule="exact"/>
        <w:ind w:left="898" w:right="753"/>
        <w:jc w:val="both"/>
        <w:rPr>
          <w:color w:val="0000FF"/>
          <w:sz w:val="18"/>
          <w:u w:val="single"/>
        </w:rPr>
      </w:pPr>
      <w:r>
        <w:rPr>
          <w:color w:val="0000FF"/>
          <w:w w:val="103"/>
          <w:sz w:val="18"/>
          <w:u w:val="single"/>
        </w:rPr>
        <w:t>40 Cal.3d 903,</w:t>
      </w:r>
      <w:r>
        <w:rPr>
          <w:color w:val="0000FF"/>
          <w:w w:val="103"/>
          <w:sz w:val="18"/>
          <w:u w:val="single"/>
        </w:rPr>
        <w:t xml:space="preserve"> 923-924 [221 Cal. Rptr. 575, 710 P.2d 375]</w:t>
      </w:r>
      <w:r>
        <w:rPr>
          <w:color w:val="000000"/>
          <w:w w:val="103"/>
          <w:sz w:val="18"/>
        </w:rPr>
        <w:t>, quoting</w:t>
      </w:r>
      <w:r>
        <w:rPr>
          <w:rFonts w:ascii="Times New Roman Italic" w:hAnsi="Times New Roman Italic"/>
          <w:color w:val="0000FF"/>
          <w:w w:val="103"/>
          <w:sz w:val="18"/>
        </w:rPr>
        <w:t xml:space="preserve"> </w:t>
      </w:r>
      <w:r>
        <w:rPr>
          <w:rFonts w:ascii="Times New Roman Italic" w:hAnsi="Times New Roman Italic"/>
          <w:color w:val="0000FF"/>
          <w:w w:val="103"/>
          <w:sz w:val="18"/>
          <w:u w:val="single"/>
        </w:rPr>
        <w:t xml:space="preserve"> Boys Markets</w:t>
      </w:r>
      <w:r>
        <w:rPr>
          <w:color w:val="0000FF"/>
          <w:w w:val="103"/>
          <w:sz w:val="18"/>
          <w:u w:val="single"/>
        </w:rPr>
        <w:t xml:space="preserve">  v.</w:t>
      </w:r>
      <w:r>
        <w:rPr>
          <w:rFonts w:ascii="Times New Roman Italic" w:hAnsi="Times New Roman Italic"/>
          <w:color w:val="0000FF"/>
          <w:w w:val="103"/>
          <w:sz w:val="18"/>
          <w:u w:val="single"/>
        </w:rPr>
        <w:t xml:space="preserve">  Clerks Union</w:t>
      </w:r>
      <w:r>
        <w:rPr>
          <w:color w:val="0000FF"/>
          <w:w w:val="103"/>
          <w:sz w:val="18"/>
          <w:u w:val="single"/>
        </w:rPr>
        <w:t xml:space="preserve">  (1970) 398 U.S. 235, 240-</w:t>
      </w:r>
      <w:r>
        <w:rPr>
          <w:color w:val="0000FF"/>
          <w:w w:val="103"/>
          <w:sz w:val="18"/>
          <w:u w:val="single"/>
        </w:rPr>
        <w:br/>
      </w:r>
      <w:r>
        <w:rPr>
          <w:color w:val="0000FF"/>
          <w:sz w:val="18"/>
          <w:u w:val="single"/>
        </w:rPr>
        <w:t>241 [26 L.Ed.2d 199, 90 S.Ct. 1583]</w:t>
      </w:r>
      <w:r>
        <w:rPr>
          <w:color w:val="000000"/>
          <w:sz w:val="18"/>
        </w:rPr>
        <w:t>.) As this court has stated: ‘Although the doctrine [of stare decisis] does indeed serve impor-</w:t>
      </w:r>
      <w:r>
        <w:rPr>
          <w:color w:val="000000"/>
          <w:sz w:val="18"/>
        </w:rPr>
        <w:br/>
        <w:t xml:space="preserve">tant values, </w:t>
      </w:r>
      <w:r>
        <w:rPr>
          <w:color w:val="000000"/>
          <w:sz w:val="18"/>
        </w:rPr>
        <w:t>it nevertheless should not shield court-created error from correction.’ (</w:t>
      </w:r>
      <w:r>
        <w:rPr>
          <w:rFonts w:ascii="Times New Roman Italic" w:hAnsi="Times New Roman Italic"/>
          <w:color w:val="0000FF"/>
          <w:sz w:val="18"/>
          <w:u w:val="single"/>
        </w:rPr>
        <w:t xml:space="preserve"> Cianci</w:t>
      </w:r>
      <w:r>
        <w:rPr>
          <w:color w:val="0000FF"/>
          <w:sz w:val="18"/>
          <w:u w:val="single"/>
        </w:rPr>
        <w:t xml:space="preserve">  v.</w:t>
      </w:r>
      <w:r>
        <w:rPr>
          <w:rFonts w:ascii="Times New Roman Italic" w:hAnsi="Times New Roman Italic"/>
          <w:color w:val="0000FF"/>
          <w:sz w:val="18"/>
          <w:u w:val="single"/>
        </w:rPr>
        <w:t xml:space="preserve">  Superior Court, supra</w:t>
      </w:r>
      <w:r>
        <w:rPr>
          <w:color w:val="0000FF"/>
          <w:sz w:val="18"/>
          <w:u w:val="single"/>
        </w:rPr>
        <w:t xml:space="preserve"> , 40 Cal.3d at </w:t>
      </w:r>
    </w:p>
    <w:p w:rsidR="00491B30" w:rsidRDefault="00BA5DC6">
      <w:pPr>
        <w:spacing w:line="200" w:lineRule="exact"/>
        <w:ind w:left="898" w:right="735"/>
        <w:jc w:val="both"/>
        <w:rPr>
          <w:color w:val="0000FF"/>
          <w:sz w:val="18"/>
          <w:u w:val="single"/>
        </w:rPr>
      </w:pPr>
      <w:r>
        <w:rPr>
          <w:color w:val="0000FF"/>
          <w:sz w:val="18"/>
          <w:u w:val="single"/>
        </w:rPr>
        <w:t>p. 924</w:t>
      </w:r>
      <w:r>
        <w:rPr>
          <w:color w:val="000000"/>
          <w:sz w:val="18"/>
        </w:rPr>
        <w:t>;</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County of Los Angeles</w:t>
      </w:r>
      <w:r>
        <w:rPr>
          <w:color w:val="0000FF"/>
          <w:sz w:val="18"/>
          <w:u w:val="single"/>
        </w:rPr>
        <w:t xml:space="preserve">  v.</w:t>
      </w:r>
      <w:r>
        <w:rPr>
          <w:rFonts w:ascii="Times New Roman Italic" w:hAnsi="Times New Roman Italic"/>
          <w:color w:val="0000FF"/>
          <w:sz w:val="18"/>
          <w:u w:val="single"/>
        </w:rPr>
        <w:t xml:space="preserve">  Faus</w:t>
      </w:r>
      <w:r>
        <w:rPr>
          <w:color w:val="0000FF"/>
          <w:sz w:val="18"/>
          <w:u w:val="single"/>
        </w:rPr>
        <w:t xml:space="preserve">  (1957) 48 Cal.2d 672, 679 [312 P.2d 680]</w:t>
      </w:r>
      <w:r>
        <w:rPr>
          <w:color w:val="000000"/>
          <w:sz w:val="18"/>
        </w:rPr>
        <w:t xml:space="preserve"> [‘Previous decisions should not be followed to th</w:t>
      </w:r>
      <w:r>
        <w:rPr>
          <w:color w:val="000000"/>
          <w:sz w:val="18"/>
        </w:rPr>
        <w:t xml:space="preserve">e </w:t>
      </w:r>
      <w:r>
        <w:rPr>
          <w:color w:val="000000"/>
          <w:sz w:val="18"/>
        </w:rPr>
        <w:br/>
        <w:t>extent that error may be perpetuated and that wrong may result.’]. See also the concurring opinion of Justice Mosk in</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Smith</w:t>
      </w:r>
      <w:r>
        <w:rPr>
          <w:color w:val="0000FF"/>
          <w:sz w:val="18"/>
          <w:u w:val="single"/>
        </w:rPr>
        <w:t xml:space="preserve">  v.</w:t>
      </w:r>
      <w:r>
        <w:rPr>
          <w:rFonts w:ascii="Times New Roman Italic" w:hAnsi="Times New Roman Italic"/>
          <w:color w:val="0000FF"/>
          <w:sz w:val="18"/>
          <w:u w:val="single"/>
        </w:rPr>
        <w:t xml:space="preserve">  An-</w:t>
      </w:r>
      <w:r>
        <w:rPr>
          <w:rFonts w:ascii="Times New Roman Italic" w:hAnsi="Times New Roman Italic"/>
          <w:color w:val="0000FF"/>
          <w:sz w:val="18"/>
          <w:u w:val="single"/>
        </w:rPr>
        <w:br/>
        <w:t>derson</w:t>
      </w:r>
      <w:r>
        <w:rPr>
          <w:color w:val="0000FF"/>
          <w:sz w:val="18"/>
          <w:u w:val="single"/>
        </w:rPr>
        <w:t xml:space="preserve">  (1967) 67 Cal.2d 635, 646 [63 Cal. Rptr. 391, 433 P.2d 183]</w:t>
      </w:r>
      <w:r>
        <w:rPr>
          <w:color w:val="000000"/>
          <w:sz w:val="18"/>
        </w:rPr>
        <w:t xml:space="preserve">, </w:t>
      </w:r>
      <w:r>
        <w:rPr>
          <w:rFonts w:ascii="Times New Roman Bold" w:hAnsi="Times New Roman Bold"/>
          <w:color w:val="000000"/>
          <w:sz w:val="18"/>
        </w:rPr>
        <w:t>[**23]</w:t>
      </w:r>
      <w:r>
        <w:rPr>
          <w:color w:val="000000"/>
          <w:sz w:val="18"/>
        </w:rPr>
        <w:t xml:space="preserve"> quoting</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Wolf</w:t>
      </w:r>
      <w:r>
        <w:rPr>
          <w:color w:val="0000FF"/>
          <w:sz w:val="18"/>
          <w:u w:val="single"/>
        </w:rPr>
        <w:t xml:space="preserve">  v.</w:t>
      </w:r>
      <w:r>
        <w:rPr>
          <w:rFonts w:ascii="Times New Roman Italic" w:hAnsi="Times New Roman Italic"/>
          <w:color w:val="0000FF"/>
          <w:sz w:val="18"/>
          <w:u w:val="single"/>
        </w:rPr>
        <w:t xml:space="preserve">  Colorado</w:t>
      </w:r>
      <w:r>
        <w:rPr>
          <w:color w:val="0000FF"/>
          <w:sz w:val="18"/>
          <w:u w:val="single"/>
        </w:rPr>
        <w:t xml:space="preserve">  (1949) 338 U.S. 25, 47 </w:t>
      </w:r>
    </w:p>
    <w:p w:rsidR="00491B30" w:rsidRDefault="00BA5DC6">
      <w:pPr>
        <w:spacing w:line="200" w:lineRule="exact"/>
        <w:ind w:left="898" w:right="734"/>
        <w:rPr>
          <w:color w:val="000000"/>
          <w:sz w:val="18"/>
        </w:rPr>
      </w:pPr>
      <w:r>
        <w:rPr>
          <w:color w:val="0000FF"/>
          <w:sz w:val="18"/>
          <w:u w:val="single"/>
        </w:rPr>
        <w:t>[93 L. Ed. 1782, 69 S. Ct. 1359]</w:t>
      </w:r>
      <w:r>
        <w:rPr>
          <w:color w:val="000000"/>
          <w:sz w:val="18"/>
        </w:rPr>
        <w:t xml:space="preserve"> [‘ “Wisdom too often never comes, and so one ought not to reject it merely because it comes late.” ’].)” (</w:t>
      </w:r>
      <w:r>
        <w:rPr>
          <w:rFonts w:ascii="Times New Roman Italic" w:hAnsi="Times New Roman Italic"/>
          <w:color w:val="0000FF"/>
          <w:sz w:val="18"/>
          <w:u w:val="single"/>
        </w:rPr>
        <w:t xml:space="preserve"> Peterson v. Superior Court</w:t>
      </w:r>
      <w:r>
        <w:rPr>
          <w:color w:val="0000FF"/>
          <w:sz w:val="18"/>
          <w:u w:val="single"/>
        </w:rPr>
        <w:t xml:space="preserve">  (1995) 10 Cal.4th 1185, 1195-1196 [43 Cal. Rptr. 2d 836, 899 P</w:t>
      </w:r>
      <w:r>
        <w:rPr>
          <w:color w:val="0000FF"/>
          <w:sz w:val="18"/>
          <w:u w:val="single"/>
        </w:rPr>
        <w:t>.2d 905]</w:t>
      </w:r>
      <w:r>
        <w:rPr>
          <w:color w:val="000000"/>
          <w:sz w:val="18"/>
        </w:rPr>
        <w:t>; see</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Freeman &amp; </w:t>
      </w:r>
      <w:r>
        <w:rPr>
          <w:rFonts w:ascii="Times New Roman Italic" w:hAnsi="Times New Roman Italic"/>
          <w:color w:val="0000FF"/>
          <w:sz w:val="18"/>
          <w:u w:val="single"/>
        </w:rPr>
        <w:br/>
        <w:t>Mills, Inc. v. Belcher Oil Co.</w:t>
      </w:r>
      <w:r>
        <w:rPr>
          <w:color w:val="0000FF"/>
          <w:sz w:val="18"/>
          <w:u w:val="single"/>
        </w:rPr>
        <w:t xml:space="preserve">  (1995) 11 Cal.4th 85, 92-93 [44 Cal. Rptr. 2d 420, 900 P.2d 669]</w:t>
      </w:r>
      <w:r>
        <w:rPr>
          <w:color w:val="000000"/>
          <w:sz w:val="18"/>
        </w:rPr>
        <w:t xml:space="preserve">.) </w:t>
      </w:r>
    </w:p>
    <w:p w:rsidR="00491B30" w:rsidRDefault="00491B30">
      <w:pPr>
        <w:spacing w:line="230" w:lineRule="exact"/>
        <w:ind w:left="5183"/>
        <w:rPr>
          <w:color w:val="000000"/>
          <w:sz w:val="18"/>
        </w:rPr>
      </w:pPr>
    </w:p>
    <w:p w:rsidR="00491B30" w:rsidRDefault="00BA5DC6">
      <w:pPr>
        <w:spacing w:before="66" w:line="230" w:lineRule="exact"/>
        <w:ind w:left="5183"/>
        <w:rPr>
          <w:color w:val="000000"/>
          <w:spacing w:val="-1"/>
          <w:sz w:val="20"/>
        </w:rPr>
      </w:pPr>
      <w:r>
        <w:rPr>
          <w:color w:val="000000"/>
          <w:spacing w:val="-1"/>
          <w:sz w:val="20"/>
        </w:rPr>
        <w:t xml:space="preserve">Charles Cox </w:t>
      </w:r>
      <w:r>
        <w:rPr>
          <w:color w:val="000000"/>
          <w:spacing w:val="-1"/>
          <w:sz w:val="20"/>
        </w:rPr>
        <w:pict>
          <v:line id="_x0000_s1105" style="position:absolute;left:0;text-align:left;z-index:-251578368;mso-position-horizontal-relative:page;mso-position-vertical-relative:page" from="66.5pt,552.6pt" to="545.45pt,552.6pt" o:allowincell="f" strokeweight="1.5pt">
            <w10:wrap anchorx="page" anchory="page"/>
          </v:line>
        </w:pic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33"/>
        <w:rPr>
          <w:color w:val="000000"/>
          <w:sz w:val="20"/>
        </w:rPr>
      </w:pPr>
      <w:bookmarkStart w:id="12" w:name="Pg13"/>
      <w:bookmarkEnd w:id="12"/>
      <w:r>
        <w:rPr>
          <w:color w:val="000000"/>
          <w:sz w:val="20"/>
        </w:rPr>
        <w:lastRenderedPageBreak/>
        <w:t>55 Cal. 4th 1169, *1181; 2013 Cal. LEXIS 253, **25</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59" w:lineRule="exact"/>
        <w:ind w:left="898"/>
        <w:jc w:val="both"/>
        <w:rPr>
          <w:color w:val="000000"/>
          <w:sz w:val="20"/>
        </w:rPr>
      </w:pPr>
    </w:p>
    <w:p w:rsidR="00491B30" w:rsidRDefault="00491B30">
      <w:pPr>
        <w:spacing w:line="259" w:lineRule="exact"/>
        <w:ind w:left="898"/>
        <w:jc w:val="both"/>
        <w:rPr>
          <w:color w:val="000000"/>
          <w:sz w:val="20"/>
        </w:rPr>
      </w:pPr>
    </w:p>
    <w:p w:rsidR="00491B30" w:rsidRDefault="00BA5DC6">
      <w:pPr>
        <w:spacing w:before="22" w:line="259" w:lineRule="exact"/>
        <w:ind w:left="898" w:right="76"/>
        <w:jc w:val="both"/>
        <w:rPr>
          <w:color w:val="000000"/>
          <w:spacing w:val="-1"/>
        </w:rPr>
      </w:pPr>
      <w:r>
        <w:rPr>
          <w:color w:val="000000"/>
        </w:rPr>
        <w:t>deficiency judgment. (</w:t>
      </w:r>
      <w:r>
        <w:rPr>
          <w:rFonts w:ascii="Times New Roman Italic" w:hAnsi="Times New Roman Italic"/>
          <w:color w:val="0000FF"/>
          <w:u w:val="single"/>
        </w:rPr>
        <w:t xml:space="preserve"> Id.</w:t>
      </w:r>
      <w:r>
        <w:rPr>
          <w:color w:val="0000FF"/>
          <w:u w:val="single"/>
        </w:rPr>
        <w:t xml:space="preserve">  at p. 661</w:t>
      </w:r>
      <w:r>
        <w:rPr>
          <w:color w:val="000000"/>
        </w:rPr>
        <w:t>.) The trial court ruled in Ramacciotti’s favor. The</w:t>
      </w:r>
      <w:r>
        <w:rPr>
          <w:rFonts w:ascii="Times New Roman Italic" w:hAnsi="Times New Roman Italic"/>
          <w:color w:val="000000"/>
        </w:rPr>
        <w:t xml:space="preserve"> Fleury </w:t>
      </w:r>
      <w:r>
        <w:rPr>
          <w:color w:val="000000"/>
          <w:spacing w:val="-1"/>
        </w:rPr>
        <w:t>court affirmed, stating summarily: “Plain-</w:t>
      </w:r>
    </w:p>
    <w:p w:rsidR="00491B30" w:rsidRDefault="00BA5DC6">
      <w:pPr>
        <w:spacing w:before="1" w:line="259" w:lineRule="exact"/>
        <w:ind w:left="898"/>
        <w:jc w:val="both"/>
        <w:rPr>
          <w:color w:val="000000"/>
          <w:w w:val="101"/>
        </w:rPr>
      </w:pPr>
      <w:r>
        <w:rPr>
          <w:color w:val="000000"/>
        </w:rPr>
        <w:t xml:space="preserve">tiff’s contention that the evidence was admitted </w:t>
      </w:r>
      <w:r>
        <w:rPr>
          <w:color w:val="000000"/>
          <w:w w:val="101"/>
        </w:rPr>
        <w:t>in violation of the parol evidence rule is of</w:t>
      </w:r>
    </w:p>
    <w:p w:rsidR="00491B30" w:rsidRDefault="00BA5DC6">
      <w:pPr>
        <w:spacing w:before="1" w:line="259" w:lineRule="exact"/>
        <w:ind w:left="898" w:right="38"/>
        <w:jc w:val="both"/>
        <w:rPr>
          <w:color w:val="000000"/>
          <w:w w:val="101"/>
        </w:rPr>
      </w:pPr>
      <w:r>
        <w:rPr>
          <w:color w:val="000000"/>
        </w:rPr>
        <w:t>course untenable, for although a written instru</w:t>
      </w:r>
      <w:r>
        <w:rPr>
          <w:color w:val="000000"/>
        </w:rPr>
        <w:t>-</w:t>
      </w:r>
      <w:r>
        <w:rPr>
          <w:color w:val="000000"/>
        </w:rPr>
        <w:br/>
      </w:r>
      <w:r>
        <w:rPr>
          <w:color w:val="000000"/>
          <w:spacing w:val="-3"/>
        </w:rPr>
        <w:t>ment may supersede prior negotiations and un-</w:t>
      </w:r>
      <w:r>
        <w:rPr>
          <w:color w:val="000000"/>
          <w:spacing w:val="-3"/>
        </w:rPr>
        <w:br/>
      </w:r>
      <w:r>
        <w:rPr>
          <w:color w:val="000000"/>
          <w:w w:val="109"/>
        </w:rPr>
        <w:t>derstandings leading up to it, fraud may al-</w:t>
      </w:r>
      <w:r>
        <w:rPr>
          <w:color w:val="000000"/>
          <w:w w:val="109"/>
        </w:rPr>
        <w:br/>
      </w:r>
      <w:r>
        <w:rPr>
          <w:color w:val="000000"/>
          <w:w w:val="101"/>
        </w:rPr>
        <w:t>ways be shown to defeat the effect of an</w:t>
      </w:r>
    </w:p>
    <w:p w:rsidR="00491B30" w:rsidRDefault="00BA5DC6">
      <w:pPr>
        <w:spacing w:line="259" w:lineRule="exact"/>
        <w:ind w:left="898" w:right="131"/>
        <w:jc w:val="both"/>
        <w:rPr>
          <w:color w:val="0000FF"/>
          <w:w w:val="101"/>
          <w:u w:val="single"/>
        </w:rPr>
      </w:pPr>
      <w:r>
        <w:rPr>
          <w:color w:val="000000"/>
        </w:rPr>
        <w:t>agreement.” (</w:t>
      </w:r>
      <w:r>
        <w:rPr>
          <w:rFonts w:ascii="Times New Roman Italic" w:hAnsi="Times New Roman Italic"/>
          <w:color w:val="0000FF"/>
          <w:u w:val="single"/>
        </w:rPr>
        <w:t xml:space="preserve"> Id.</w:t>
      </w:r>
      <w:r>
        <w:rPr>
          <w:color w:val="0000FF"/>
          <w:u w:val="single"/>
        </w:rPr>
        <w:t xml:space="preserve">  at p. 662</w:t>
      </w:r>
      <w:r>
        <w:rPr>
          <w:color w:val="000000"/>
        </w:rPr>
        <w:t>; see</w:t>
      </w:r>
      <w:r>
        <w:rPr>
          <w:rFonts w:ascii="Times New Roman Italic" w:hAnsi="Times New Roman Italic"/>
          <w:color w:val="0000FF"/>
        </w:rPr>
        <w:t xml:space="preserve"> </w:t>
      </w:r>
      <w:r>
        <w:rPr>
          <w:rFonts w:ascii="Times New Roman Italic" w:hAnsi="Times New Roman Italic"/>
          <w:color w:val="0000FF"/>
          <w:u w:val="single"/>
        </w:rPr>
        <w:t xml:space="preserve"> Stock v. Meek </w:t>
      </w:r>
      <w:r>
        <w:rPr>
          <w:rFonts w:ascii="Times New Roman Italic" w:hAnsi="Times New Roman Italic"/>
          <w:color w:val="0000FF"/>
          <w:u w:val="single"/>
        </w:rPr>
        <w:br/>
      </w:r>
      <w:r>
        <w:rPr>
          <w:color w:val="0000FF"/>
          <w:w w:val="101"/>
          <w:u w:val="single"/>
        </w:rPr>
        <w:t xml:space="preserve"> (1950) 35 Cal.2d 809, 815-816 [221 P.2d 15]</w:t>
      </w:r>
    </w:p>
    <w:p w:rsidR="00491B30" w:rsidRDefault="00BA5DC6">
      <w:pPr>
        <w:spacing w:line="259" w:lineRule="exact"/>
        <w:ind w:left="898" w:right="11"/>
        <w:jc w:val="both"/>
        <w:rPr>
          <w:color w:val="000000"/>
        </w:rPr>
      </w:pPr>
      <w:r>
        <w:rPr>
          <w:color w:val="000000"/>
          <w:w w:val="101"/>
        </w:rPr>
        <w:t xml:space="preserve">[mistake of law case, </w:t>
      </w:r>
      <w:r>
        <w:rPr>
          <w:color w:val="000000"/>
          <w:w w:val="101"/>
        </w:rPr>
        <w:t>quoting old rule and lan-</w:t>
      </w:r>
      <w:r>
        <w:rPr>
          <w:color w:val="000000"/>
          <w:w w:val="101"/>
        </w:rPr>
        <w:br/>
      </w:r>
      <w:r>
        <w:rPr>
          <w:color w:val="000000"/>
          <w:spacing w:val="-1"/>
        </w:rPr>
        <w:t>guage from Rest., Contracts permitting extrin-</w:t>
      </w:r>
      <w:r>
        <w:rPr>
          <w:color w:val="000000"/>
          <w:spacing w:val="-1"/>
        </w:rPr>
        <w:br/>
      </w:r>
      <w:r>
        <w:rPr>
          <w:color w:val="000000"/>
        </w:rPr>
        <w:t>sic evidence of mistake or fraud].)</w:t>
      </w:r>
    </w:p>
    <w:p w:rsidR="00491B30" w:rsidRDefault="00BA5DC6">
      <w:pPr>
        <w:spacing w:before="200" w:line="259" w:lineRule="exact"/>
        <w:ind w:left="898" w:right="5"/>
        <w:jc w:val="both"/>
        <w:rPr>
          <w:color w:val="000000"/>
          <w:spacing w:val="-1"/>
        </w:rPr>
      </w:pPr>
      <w:r>
        <w:rPr>
          <w:color w:val="000000"/>
        </w:rPr>
        <w:t>Thus,</w:t>
      </w:r>
      <w:r>
        <w:rPr>
          <w:rFonts w:ascii="Times New Roman Italic" w:hAnsi="Times New Roman Italic"/>
          <w:color w:val="0000FF"/>
        </w:rPr>
        <w:t xml:space="preserve"> </w:t>
      </w:r>
      <w:r>
        <w:rPr>
          <w:rFonts w:ascii="Times New Roman Italic" w:hAnsi="Times New Roman Italic"/>
          <w:color w:val="0000FF"/>
          <w:u w:val="single"/>
        </w:rPr>
        <w:t xml:space="preserve"> Pendergrass</w:t>
      </w:r>
      <w:r>
        <w:rPr>
          <w:color w:val="000000"/>
        </w:rPr>
        <w:t xml:space="preserve"> was plainly out of step with </w:t>
      </w:r>
      <w:r>
        <w:rPr>
          <w:color w:val="000000"/>
        </w:rPr>
        <w:br/>
      </w:r>
      <w:r>
        <w:rPr>
          <w:color w:val="000000"/>
          <w:spacing w:val="-1"/>
        </w:rPr>
        <w:t>established California law. Moreover, the au-</w:t>
      </w:r>
      <w:r>
        <w:rPr>
          <w:color w:val="000000"/>
          <w:spacing w:val="-1"/>
        </w:rPr>
        <w:br/>
      </w:r>
      <w:r>
        <w:rPr>
          <w:color w:val="000000"/>
          <w:w w:val="104"/>
        </w:rPr>
        <w:t>thorities to which it referred, upon examina-</w:t>
      </w:r>
      <w:r>
        <w:rPr>
          <w:color w:val="000000"/>
          <w:w w:val="104"/>
        </w:rPr>
        <w:br/>
      </w:r>
      <w:r>
        <w:rPr>
          <w:color w:val="000000"/>
          <w:w w:val="108"/>
        </w:rPr>
        <w:t xml:space="preserve">tion, </w:t>
      </w:r>
      <w:r>
        <w:rPr>
          <w:color w:val="000000"/>
          <w:w w:val="108"/>
        </w:rPr>
        <w:t>provide little support for the rule it de-</w:t>
      </w:r>
      <w:r>
        <w:rPr>
          <w:color w:val="000000"/>
          <w:w w:val="108"/>
        </w:rPr>
        <w:br/>
      </w:r>
      <w:r>
        <w:rPr>
          <w:color w:val="000000"/>
          <w:spacing w:val="-1"/>
        </w:rPr>
        <w:t>clared. The</w:t>
      </w:r>
      <w:r>
        <w:rPr>
          <w:rFonts w:ascii="Times New Roman Italic" w:hAnsi="Times New Roman Italic"/>
          <w:color w:val="000000"/>
          <w:spacing w:val="-1"/>
        </w:rPr>
        <w:t xml:space="preserve"> Pendergrass</w:t>
      </w:r>
      <w:r>
        <w:rPr>
          <w:color w:val="000000"/>
          <w:spacing w:val="-1"/>
        </w:rPr>
        <w:t xml:space="preserve"> court relied primarily</w:t>
      </w:r>
    </w:p>
    <w:p w:rsidR="00491B30" w:rsidRDefault="00BA5DC6">
      <w:pPr>
        <w:spacing w:line="259" w:lineRule="exact"/>
        <w:ind w:left="898" w:firstLine="67"/>
        <w:jc w:val="both"/>
        <w:rPr>
          <w:color w:val="000000"/>
          <w:w w:val="101"/>
        </w:rPr>
      </w:pPr>
      <w:r>
        <w:rPr>
          <w:rFonts w:ascii="Times New Roman Bold" w:hAnsi="Times New Roman Bold"/>
          <w:color w:val="000000"/>
          <w:spacing w:val="-3"/>
        </w:rPr>
        <w:t>[**26]</w:t>
      </w:r>
      <w:r>
        <w:rPr>
          <w:color w:val="000000"/>
          <w:spacing w:val="-3"/>
        </w:rPr>
        <w:t xml:space="preserve"> on</w:t>
      </w:r>
      <w:r>
        <w:rPr>
          <w:rFonts w:ascii="Times New Roman Italic" w:hAnsi="Times New Roman Italic"/>
          <w:color w:val="0000FF"/>
          <w:spacing w:val="-3"/>
        </w:rPr>
        <w:t xml:space="preserve"> </w:t>
      </w:r>
      <w:r>
        <w:rPr>
          <w:rFonts w:ascii="Times New Roman Italic" w:hAnsi="Times New Roman Italic"/>
          <w:color w:val="0000FF"/>
          <w:spacing w:val="-3"/>
          <w:u w:val="single"/>
        </w:rPr>
        <w:t xml:space="preserve"> Towner v. Lucas’ Executor, supra</w:t>
      </w:r>
      <w:r>
        <w:rPr>
          <w:color w:val="0000FF"/>
          <w:spacing w:val="-3"/>
          <w:u w:val="single"/>
        </w:rPr>
        <w:t xml:space="preserve"> , 54 </w:t>
      </w:r>
      <w:r>
        <w:rPr>
          <w:color w:val="0000FF"/>
          <w:spacing w:val="-1"/>
          <w:u w:val="single"/>
        </w:rPr>
        <w:t>Va. 705</w:t>
      </w:r>
      <w:r>
        <w:rPr>
          <w:color w:val="000000"/>
          <w:spacing w:val="-1"/>
        </w:rPr>
        <w:t>, quoting that opinion at length. (</w:t>
      </w:r>
      <w:r>
        <w:rPr>
          <w:rFonts w:ascii="Times New Roman Italic" w:hAnsi="Times New Roman Italic"/>
          <w:color w:val="0000FF"/>
          <w:spacing w:val="-1"/>
          <w:u w:val="single"/>
        </w:rPr>
        <w:t xml:space="preserve"> Pend-</w:t>
      </w:r>
      <w:r>
        <w:rPr>
          <w:rFonts w:ascii="Times New Roman Italic" w:hAnsi="Times New Roman Italic"/>
          <w:color w:val="0000FF"/>
          <w:spacing w:val="-1"/>
          <w:u w:val="single"/>
        </w:rPr>
        <w:br/>
      </w:r>
      <w:r>
        <w:rPr>
          <w:rFonts w:ascii="Times New Roman Italic" w:hAnsi="Times New Roman Italic"/>
          <w:color w:val="0000FF"/>
          <w:w w:val="101"/>
          <w:u w:val="single"/>
        </w:rPr>
        <w:t>ergrass, supra</w:t>
      </w:r>
      <w:r>
        <w:rPr>
          <w:color w:val="0000FF"/>
          <w:w w:val="101"/>
          <w:u w:val="single"/>
        </w:rPr>
        <w:t xml:space="preserve"> , 4 Cal.2d at pp. 263-264</w:t>
      </w:r>
      <w:r>
        <w:rPr>
          <w:color w:val="000000"/>
          <w:w w:val="101"/>
        </w:rPr>
        <w:t>.) In</w:t>
      </w:r>
    </w:p>
    <w:p w:rsidR="00491B30" w:rsidRDefault="00BA5DC6">
      <w:pPr>
        <w:spacing w:line="259" w:lineRule="exact"/>
        <w:ind w:left="898"/>
        <w:jc w:val="both"/>
        <w:rPr>
          <w:color w:val="000000"/>
          <w:spacing w:val="-1"/>
        </w:rPr>
      </w:pPr>
      <w:r>
        <w:rPr>
          <w:rFonts w:ascii="Times New Roman Italic" w:hAnsi="Times New Roman Italic"/>
          <w:color w:val="000000"/>
          <w:spacing w:val="-3"/>
        </w:rPr>
        <w:t>Towner</w:t>
      </w:r>
      <w:r>
        <w:rPr>
          <w:color w:val="000000"/>
          <w:spacing w:val="-3"/>
        </w:rPr>
        <w:t xml:space="preserve">, a debtor </w:t>
      </w:r>
      <w:r>
        <w:rPr>
          <w:color w:val="000000"/>
          <w:spacing w:val="-3"/>
        </w:rPr>
        <w:t>relied on an oral promise of in-</w:t>
      </w:r>
      <w:r>
        <w:rPr>
          <w:color w:val="000000"/>
          <w:spacing w:val="-3"/>
        </w:rPr>
        <w:br/>
      </w:r>
      <w:r>
        <w:rPr>
          <w:color w:val="000000"/>
          <w:spacing w:val="-1"/>
        </w:rPr>
        <w:t>demnity against payment on surety bonds.</w:t>
      </w:r>
    </w:p>
    <w:p w:rsidR="00491B30" w:rsidRDefault="00BA5DC6">
      <w:pPr>
        <w:spacing w:line="259" w:lineRule="exact"/>
        <w:ind w:left="898" w:firstLine="79"/>
        <w:jc w:val="both"/>
        <w:rPr>
          <w:color w:val="000000"/>
          <w:spacing w:val="-1"/>
        </w:rPr>
      </w:pPr>
      <w:r>
        <w:rPr>
          <w:rFonts w:ascii="Times New Roman Bold" w:hAnsi="Times New Roman Bold"/>
          <w:color w:val="000000"/>
        </w:rPr>
        <w:t>[*1182]</w:t>
      </w:r>
      <w:r>
        <w:rPr>
          <w:color w:val="000000"/>
        </w:rPr>
        <w:t xml:space="preserve">  However, no fraud was alleged, nor </w:t>
      </w:r>
      <w:r>
        <w:rPr>
          <w:color w:val="000000"/>
          <w:w w:val="101"/>
        </w:rPr>
        <w:t xml:space="preserve">was it claimed that the promise had been made </w:t>
      </w:r>
      <w:r>
        <w:rPr>
          <w:color w:val="000000"/>
          <w:spacing w:val="-1"/>
        </w:rPr>
        <w:t>without the intent to perform, an essential ele-</w:t>
      </w:r>
      <w:r>
        <w:rPr>
          <w:color w:val="000000"/>
          <w:spacing w:val="-1"/>
        </w:rPr>
        <w:br/>
      </w:r>
      <w:r>
        <w:rPr>
          <w:color w:val="000000"/>
          <w:spacing w:val="-6"/>
        </w:rPr>
        <w:t>ment of promissory fraud. (</w:t>
      </w:r>
      <w:r>
        <w:rPr>
          <w:rFonts w:ascii="Times New Roman Italic" w:hAnsi="Times New Roman Italic"/>
          <w:color w:val="0000FF"/>
          <w:spacing w:val="-6"/>
          <w:u w:val="single"/>
        </w:rPr>
        <w:t xml:space="preserve"> Towner, supra</w:t>
      </w:r>
      <w:r>
        <w:rPr>
          <w:color w:val="0000FF"/>
          <w:spacing w:val="-6"/>
          <w:u w:val="single"/>
        </w:rPr>
        <w:t xml:space="preserve"> , 54 Va. </w:t>
      </w:r>
      <w:r>
        <w:rPr>
          <w:color w:val="0000FF"/>
          <w:u w:val="single"/>
        </w:rPr>
        <w:t>at pp. 706, 722</w:t>
      </w:r>
      <w:r>
        <w:rPr>
          <w:color w:val="000000"/>
        </w:rPr>
        <w:t>; see</w:t>
      </w:r>
      <w:r>
        <w:rPr>
          <w:rFonts w:ascii="Times New Roman Italic" w:hAnsi="Times New Roman Italic"/>
          <w:color w:val="0000FF"/>
        </w:rPr>
        <w:t xml:space="preserve"> </w:t>
      </w:r>
      <w:r>
        <w:rPr>
          <w:rFonts w:ascii="Times New Roman Italic" w:hAnsi="Times New Roman Italic"/>
          <w:color w:val="0000FF"/>
          <w:u w:val="single"/>
        </w:rPr>
        <w:t xml:space="preserve"> Langley v. Rodriguez, su-</w:t>
      </w:r>
      <w:r>
        <w:rPr>
          <w:rFonts w:ascii="Times New Roman Italic" w:hAnsi="Times New Roman Italic"/>
          <w:color w:val="0000FF"/>
          <w:u w:val="single"/>
        </w:rPr>
        <w:br/>
      </w:r>
      <w:r>
        <w:rPr>
          <w:rFonts w:ascii="Times New Roman Italic" w:hAnsi="Times New Roman Italic"/>
          <w:color w:val="0000FF"/>
          <w:w w:val="102"/>
          <w:u w:val="single"/>
        </w:rPr>
        <w:t>pra</w:t>
      </w:r>
      <w:r>
        <w:rPr>
          <w:color w:val="0000FF"/>
          <w:w w:val="102"/>
          <w:u w:val="single"/>
        </w:rPr>
        <w:t xml:space="preserve"> , 122 Cal. at p. 581</w:t>
      </w:r>
      <w:r>
        <w:rPr>
          <w:color w:val="000000"/>
          <w:w w:val="102"/>
        </w:rPr>
        <w:t xml:space="preserve">; 5 Witkin, Summary of </w:t>
      </w:r>
      <w:r>
        <w:rPr>
          <w:color w:val="000000"/>
          <w:spacing w:val="-1"/>
        </w:rPr>
        <w:t>Cal. Law,</w:t>
      </w:r>
      <w:r>
        <w:rPr>
          <w:rFonts w:ascii="Times New Roman Italic" w:hAnsi="Times New Roman Italic"/>
          <w:color w:val="000000"/>
          <w:spacing w:val="-1"/>
        </w:rPr>
        <w:t xml:space="preserve"> supra</w:t>
      </w:r>
      <w:r>
        <w:rPr>
          <w:color w:val="000000"/>
          <w:spacing w:val="-1"/>
        </w:rPr>
        <w:t>, Torts, § 781, p. 1131.)</w:t>
      </w:r>
    </w:p>
    <w:p w:rsidR="00491B30" w:rsidRDefault="00BA5DC6">
      <w:pPr>
        <w:spacing w:line="259" w:lineRule="exact"/>
        <w:ind w:left="898" w:right="67"/>
        <w:jc w:val="both"/>
        <w:rPr>
          <w:color w:val="000000"/>
        </w:rPr>
      </w:pPr>
      <w:r>
        <w:rPr>
          <w:color w:val="000000"/>
          <w:spacing w:val="-1"/>
        </w:rPr>
        <w:t>While dicta in</w:t>
      </w:r>
      <w:r>
        <w:rPr>
          <w:rFonts w:ascii="Times New Roman Italic" w:hAnsi="Times New Roman Italic"/>
          <w:color w:val="000000"/>
          <w:spacing w:val="-1"/>
        </w:rPr>
        <w:t xml:space="preserve"> Towner</w:t>
      </w:r>
      <w:r>
        <w:rPr>
          <w:color w:val="000000"/>
          <w:spacing w:val="-1"/>
        </w:rPr>
        <w:t xml:space="preserve"> provides some support </w:t>
      </w:r>
      <w:r>
        <w:rPr>
          <w:color w:val="000000"/>
        </w:rPr>
        <w:t>for the</w:t>
      </w:r>
      <w:r>
        <w:rPr>
          <w:rFonts w:ascii="Times New Roman Italic" w:hAnsi="Times New Roman Italic"/>
          <w:color w:val="000000"/>
        </w:rPr>
        <w:t xml:space="preserve"> Pendergrass</w:t>
      </w:r>
      <w:r>
        <w:rPr>
          <w:color w:val="000000"/>
        </w:rPr>
        <w:t xml:space="preserve"> rule, the</w:t>
      </w:r>
      <w:r>
        <w:rPr>
          <w:rFonts w:ascii="Times New Roman Italic" w:hAnsi="Times New Roman Italic"/>
          <w:color w:val="000000"/>
        </w:rPr>
        <w:t xml:space="preserve"> Towner</w:t>
      </w:r>
      <w:r>
        <w:rPr>
          <w:color w:val="000000"/>
        </w:rPr>
        <w:t xml:space="preserve"> court ap-</w:t>
      </w:r>
      <w:r>
        <w:rPr>
          <w:color w:val="000000"/>
        </w:rPr>
        <w:br/>
        <w:t xml:space="preserve">peared to be </w:t>
      </w:r>
      <w:r>
        <w:rPr>
          <w:color w:val="000000"/>
        </w:rPr>
        <w:t>principally concerned with the</w:t>
      </w:r>
    </w:p>
    <w:p w:rsidR="00491B30" w:rsidRDefault="00BA5DC6">
      <w:pPr>
        <w:spacing w:before="1" w:line="259" w:lineRule="exact"/>
        <w:ind w:left="898" w:right="32"/>
        <w:jc w:val="both"/>
        <w:rPr>
          <w:color w:val="000000"/>
          <w:w w:val="101"/>
        </w:rPr>
      </w:pPr>
      <w:r>
        <w:rPr>
          <w:color w:val="000000"/>
          <w:w w:val="101"/>
        </w:rPr>
        <w:t>consequences of a rule that mere proof of non-</w:t>
      </w:r>
      <w:r>
        <w:rPr>
          <w:color w:val="000000"/>
          <w:w w:val="101"/>
        </w:rPr>
        <w:br/>
      </w:r>
      <w:r>
        <w:rPr>
          <w:color w:val="000000"/>
        </w:rPr>
        <w:t xml:space="preserve">performance of an oral promise at odds with </w:t>
      </w:r>
      <w:r>
        <w:rPr>
          <w:color w:val="000000"/>
        </w:rPr>
        <w:br/>
      </w:r>
      <w:r>
        <w:rPr>
          <w:color w:val="000000"/>
          <w:spacing w:val="-1"/>
        </w:rPr>
        <w:t>the writing would establish fraud. (</w:t>
      </w:r>
      <w:r>
        <w:rPr>
          <w:rFonts w:ascii="Times New Roman Italic" w:hAnsi="Times New Roman Italic"/>
          <w:color w:val="0000FF"/>
          <w:spacing w:val="-1"/>
          <w:u w:val="single"/>
        </w:rPr>
        <w:t xml:space="preserve"> Towner, su-</w:t>
      </w:r>
      <w:r>
        <w:rPr>
          <w:rFonts w:ascii="Times New Roman Italic" w:hAnsi="Times New Roman Italic"/>
          <w:color w:val="0000FF"/>
          <w:spacing w:val="-1"/>
          <w:u w:val="single"/>
        </w:rPr>
        <w:br/>
      </w:r>
      <w:r>
        <w:rPr>
          <w:rFonts w:ascii="Times New Roman Italic" w:hAnsi="Times New Roman Italic"/>
          <w:color w:val="0000FF"/>
          <w:w w:val="101"/>
          <w:u w:val="single"/>
        </w:rPr>
        <w:t>pra</w:t>
      </w:r>
      <w:r>
        <w:rPr>
          <w:color w:val="0000FF"/>
          <w:w w:val="101"/>
          <w:u w:val="single"/>
        </w:rPr>
        <w:t xml:space="preserve"> , 54 Va. at p. 716</w:t>
      </w:r>
      <w:r>
        <w:rPr>
          <w:color w:val="000000"/>
          <w:w w:val="101"/>
        </w:rPr>
        <w:t>; see Sweet,</w:t>
      </w:r>
      <w:r>
        <w:rPr>
          <w:rFonts w:ascii="Times New Roman Italic" w:hAnsi="Times New Roman Italic"/>
          <w:color w:val="000000"/>
          <w:w w:val="101"/>
        </w:rPr>
        <w:t xml:space="preserve"> supra</w:t>
      </w:r>
      <w:r>
        <w:rPr>
          <w:color w:val="000000"/>
          <w:w w:val="101"/>
        </w:rPr>
        <w:t>, 49</w:t>
      </w:r>
    </w:p>
    <w:p w:rsidR="00491B30" w:rsidRDefault="00BA5DC6">
      <w:pPr>
        <w:spacing w:line="259" w:lineRule="exact"/>
        <w:ind w:left="898"/>
        <w:rPr>
          <w:color w:val="000000"/>
          <w:w w:val="101"/>
        </w:rPr>
      </w:pPr>
      <w:r>
        <w:rPr>
          <w:color w:val="000000"/>
          <w:w w:val="101"/>
        </w:rPr>
        <w:t>Cal. L.Rev. at pp. 884-885.)</w:t>
      </w:r>
    </w:p>
    <w:p w:rsidR="00491B30" w:rsidRDefault="00BA5DC6">
      <w:pPr>
        <w:spacing w:before="200" w:line="259" w:lineRule="exact"/>
        <w:ind w:left="898"/>
        <w:rPr>
          <w:rFonts w:ascii="Times New Roman Italic" w:hAnsi="Times New Roman Italic"/>
          <w:color w:val="0000FF"/>
          <w:spacing w:val="-2"/>
          <w:u w:val="single"/>
        </w:rPr>
      </w:pPr>
      <w:r>
        <w:rPr>
          <w:rFonts w:ascii="Times New Roman Italic" w:hAnsi="Times New Roman Italic"/>
          <w:color w:val="000000"/>
          <w:spacing w:val="-1"/>
        </w:rPr>
        <w:t>Pendergrass</w:t>
      </w:r>
      <w:r>
        <w:rPr>
          <w:color w:val="000000"/>
          <w:spacing w:val="-1"/>
        </w:rPr>
        <w:t xml:space="preserve"> also cited a number of California </w:t>
      </w:r>
      <w:r>
        <w:rPr>
          <w:color w:val="000000"/>
          <w:spacing w:val="-1"/>
        </w:rPr>
        <w:br/>
      </w:r>
      <w:r>
        <w:rPr>
          <w:color w:val="000000"/>
        </w:rPr>
        <w:t xml:space="preserve">cases. Yet not one of them considered the fraud </w:t>
      </w:r>
      <w:r>
        <w:rPr>
          <w:color w:val="000000"/>
        </w:rPr>
        <w:br/>
        <w:t>exception to the parol evidence rule. (</w:t>
      </w:r>
      <w:r>
        <w:rPr>
          <w:rFonts w:ascii="Times New Roman Italic" w:hAnsi="Times New Roman Italic"/>
          <w:color w:val="0000FF"/>
          <w:u w:val="single"/>
        </w:rPr>
        <w:t xml:space="preserve"> Pender-</w:t>
      </w:r>
      <w:r>
        <w:rPr>
          <w:rFonts w:ascii="Times New Roman Italic" w:hAnsi="Times New Roman Italic"/>
          <w:color w:val="0000FF"/>
          <w:u w:val="single"/>
        </w:rPr>
        <w:br/>
      </w:r>
      <w:r>
        <w:rPr>
          <w:rFonts w:ascii="Times New Roman Italic" w:hAnsi="Times New Roman Italic"/>
          <w:color w:val="0000FF"/>
          <w:w w:val="104"/>
          <w:u w:val="single"/>
        </w:rPr>
        <w:t>grass, supra</w:t>
      </w:r>
      <w:r>
        <w:rPr>
          <w:color w:val="0000FF"/>
          <w:w w:val="104"/>
          <w:u w:val="single"/>
        </w:rPr>
        <w:t xml:space="preserve"> , 4 Cal.2d at p. 264</w:t>
      </w:r>
      <w:r>
        <w:rPr>
          <w:color w:val="000000"/>
          <w:w w:val="104"/>
        </w:rPr>
        <w:t>, citing</w:t>
      </w:r>
      <w:r>
        <w:rPr>
          <w:rFonts w:ascii="Times New Roman Italic" w:hAnsi="Times New Roman Italic"/>
          <w:color w:val="0000FF"/>
          <w:w w:val="104"/>
        </w:rPr>
        <w:t xml:space="preserve"> </w:t>
      </w:r>
      <w:r>
        <w:rPr>
          <w:rFonts w:ascii="Times New Roman Italic" w:hAnsi="Times New Roman Italic"/>
          <w:color w:val="0000FF"/>
          <w:w w:val="104"/>
          <w:u w:val="single"/>
        </w:rPr>
        <w:t xml:space="preserve"> Hard-</w:t>
      </w:r>
      <w:r>
        <w:rPr>
          <w:rFonts w:ascii="Times New Roman Italic" w:hAnsi="Times New Roman Italic"/>
          <w:color w:val="0000FF"/>
          <w:w w:val="104"/>
          <w:u w:val="single"/>
        </w:rPr>
        <w:br/>
      </w:r>
      <w:r>
        <w:rPr>
          <w:rFonts w:ascii="Times New Roman Italic" w:hAnsi="Times New Roman Italic"/>
          <w:color w:val="0000FF"/>
          <w:u w:val="single"/>
        </w:rPr>
        <w:t>ing v. Robinson</w:t>
      </w:r>
      <w:r>
        <w:rPr>
          <w:color w:val="0000FF"/>
          <w:u w:val="single"/>
        </w:rPr>
        <w:t xml:space="preserve">  (1917) 175 Cal. 534 [166 P. </w:t>
      </w:r>
      <w:r>
        <w:rPr>
          <w:color w:val="0000FF"/>
          <w:u w:val="single"/>
        </w:rPr>
        <w:br/>
      </w:r>
      <w:r>
        <w:rPr>
          <w:color w:val="0000FF"/>
          <w:spacing w:val="-1"/>
          <w:u w:val="single"/>
        </w:rPr>
        <w:t>808]</w:t>
      </w:r>
      <w:r>
        <w:rPr>
          <w:color w:val="000000"/>
          <w:spacing w:val="-1"/>
        </w:rPr>
        <w:t>,</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Lindemann v. Coryell</w:t>
      </w:r>
      <w:r>
        <w:rPr>
          <w:color w:val="0000FF"/>
          <w:spacing w:val="-1"/>
          <w:u w:val="single"/>
        </w:rPr>
        <w:t xml:space="preserve">  (1922) 59 Cal.App. </w:t>
      </w:r>
      <w:r>
        <w:rPr>
          <w:color w:val="0000FF"/>
          <w:spacing w:val="-1"/>
          <w:u w:val="single"/>
        </w:rPr>
        <w:br/>
        <w:t>788 [212 P. 47]</w:t>
      </w:r>
      <w:r>
        <w:rPr>
          <w:color w:val="000000"/>
          <w:spacing w:val="-1"/>
        </w:rPr>
        <w:t>,</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McArthur v. Johnson</w:t>
      </w:r>
      <w:r>
        <w:rPr>
          <w:color w:val="0000FF"/>
          <w:spacing w:val="-1"/>
          <w:u w:val="single"/>
        </w:rPr>
        <w:t xml:space="preserve">  (1932) </w:t>
      </w:r>
      <w:r>
        <w:rPr>
          <w:color w:val="0000FF"/>
          <w:spacing w:val="-1"/>
          <w:u w:val="single"/>
        </w:rPr>
        <w:br/>
      </w:r>
      <w:r>
        <w:rPr>
          <w:color w:val="0000FF"/>
          <w:u w:val="single"/>
        </w:rPr>
        <w:t>216 Cal. 580 [15 P.2d 151]</w:t>
      </w:r>
      <w:r>
        <w:rPr>
          <w:color w:val="000000"/>
        </w:rPr>
        <w:t>,</w:t>
      </w:r>
      <w:r>
        <w:rPr>
          <w:rFonts w:ascii="Times New Roman Italic" w:hAnsi="Times New Roman Italic"/>
          <w:color w:val="0000FF"/>
        </w:rPr>
        <w:t xml:space="preserve"> </w:t>
      </w:r>
      <w:r>
        <w:rPr>
          <w:rFonts w:ascii="Times New Roman Italic" w:hAnsi="Times New Roman Italic"/>
          <w:color w:val="0000FF"/>
          <w:u w:val="single"/>
        </w:rPr>
        <w:t xml:space="preserve"> Pierce v. Avakian </w:t>
      </w:r>
      <w:r>
        <w:rPr>
          <w:rFonts w:ascii="Times New Roman Italic" w:hAnsi="Times New Roman Italic"/>
          <w:color w:val="0000FF"/>
          <w:u w:val="single"/>
        </w:rPr>
        <w:br/>
      </w:r>
      <w:r>
        <w:rPr>
          <w:color w:val="0000FF"/>
          <w:spacing w:val="-2"/>
          <w:u w:val="single"/>
        </w:rPr>
        <w:t xml:space="preserve"> (1914) 167 Cal. 330 [139 P. 799]</w:t>
      </w:r>
      <w:r>
        <w:rPr>
          <w:color w:val="000000"/>
          <w:spacing w:val="-2"/>
        </w:rPr>
        <w:t xml:space="preserve">, </w:t>
      </w:r>
      <w:r>
        <w:rPr>
          <w:rFonts w:ascii="Times New Roman Bold" w:hAnsi="Times New Roman Bold"/>
          <w:color w:val="000000"/>
          <w:spacing w:val="-2"/>
        </w:rPr>
        <w:t>[**27]</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Booth</w:t>
      </w:r>
    </w:p>
    <w:p w:rsidR="00491B30" w:rsidRDefault="00BA5DC6">
      <w:pPr>
        <w:spacing w:line="259" w:lineRule="exact"/>
        <w:ind w:left="898"/>
        <w:rPr>
          <w:color w:val="000000"/>
        </w:rPr>
      </w:pPr>
      <w:r>
        <w:rPr>
          <w:rFonts w:ascii="Times New Roman Italic" w:hAnsi="Times New Roman Italic"/>
          <w:color w:val="0000FF"/>
          <w:u w:val="single"/>
        </w:rPr>
        <w:t>v. Hoskins</w:t>
      </w:r>
      <w:r>
        <w:rPr>
          <w:color w:val="0000FF"/>
          <w:u w:val="single"/>
        </w:rPr>
        <w:t xml:space="preserve">  (1888) 75 Cal. 271 [17 P. 225]</w:t>
      </w:r>
      <w:r>
        <w:rPr>
          <w:color w:val="000000"/>
        </w:rPr>
        <w:t>,</w:t>
      </w:r>
    </w:p>
    <w:p w:rsidR="00491B30" w:rsidRDefault="00BA5DC6">
      <w:pPr>
        <w:spacing w:line="259" w:lineRule="exact"/>
        <w:ind w:left="5807"/>
        <w:jc w:val="both"/>
        <w:rPr>
          <w:color w:val="000000"/>
        </w:rPr>
      </w:pPr>
      <w:r>
        <w:rPr>
          <w:color w:val="000000"/>
        </w:rPr>
        <w:br w:type="column"/>
      </w:r>
    </w:p>
    <w:p w:rsidR="00491B30" w:rsidRDefault="00491B30">
      <w:pPr>
        <w:spacing w:line="259" w:lineRule="exact"/>
        <w:ind w:left="5807"/>
        <w:jc w:val="both"/>
        <w:rPr>
          <w:color w:val="000000"/>
        </w:rPr>
      </w:pPr>
    </w:p>
    <w:p w:rsidR="00491B30" w:rsidRDefault="00BA5DC6">
      <w:pPr>
        <w:spacing w:before="22" w:line="259" w:lineRule="exact"/>
        <w:ind w:left="20" w:right="670"/>
        <w:jc w:val="both"/>
        <w:rPr>
          <w:color w:val="000000"/>
        </w:rPr>
      </w:pPr>
      <w:r>
        <w:rPr>
          <w:color w:val="000000"/>
          <w:spacing w:val="-1"/>
        </w:rPr>
        <w:t>and</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Estate of Watterson</w:t>
      </w:r>
      <w:r>
        <w:rPr>
          <w:color w:val="0000FF"/>
          <w:spacing w:val="-1"/>
          <w:u w:val="single"/>
        </w:rPr>
        <w:t xml:space="preserve">  (1933) 130 Cal.App. </w:t>
      </w:r>
      <w:r>
        <w:rPr>
          <w:color w:val="0000FF"/>
          <w:u w:val="single"/>
        </w:rPr>
        <w:t>741 [20 P.2d 772]</w:t>
      </w:r>
      <w:r>
        <w:rPr>
          <w:color w:val="000000"/>
        </w:rPr>
        <w:t>; see</w:t>
      </w:r>
      <w:r>
        <w:rPr>
          <w:rFonts w:ascii="Times New Roman Italic" w:hAnsi="Times New Roman Italic"/>
          <w:color w:val="0000FF"/>
        </w:rPr>
        <w:t xml:space="preserve"> </w:t>
      </w:r>
      <w:r>
        <w:rPr>
          <w:rFonts w:ascii="Times New Roman Italic" w:hAnsi="Times New Roman Italic"/>
          <w:color w:val="0000FF"/>
          <w:u w:val="single"/>
        </w:rPr>
        <w:t xml:space="preserve"> Harding</w:t>
      </w:r>
      <w:r>
        <w:rPr>
          <w:color w:val="0000FF"/>
          <w:u w:val="single"/>
        </w:rPr>
        <w:t xml:space="preserve"> , at p. 539</w:t>
      </w:r>
      <w:r>
        <w:rPr>
          <w:color w:val="000000"/>
        </w:rPr>
        <w:t xml:space="preserve"> [“As the complaint is totally insufficient to raise</w:t>
      </w:r>
    </w:p>
    <w:p w:rsidR="00491B30" w:rsidRDefault="00BA5DC6">
      <w:pPr>
        <w:spacing w:before="1" w:line="259" w:lineRule="exact"/>
        <w:ind w:left="20" w:right="639"/>
        <w:rPr>
          <w:color w:val="000000"/>
          <w:spacing w:val="-1"/>
        </w:rPr>
      </w:pPr>
      <w:r>
        <w:rPr>
          <w:color w:val="000000"/>
          <w:w w:val="101"/>
        </w:rPr>
        <w:t>an issue of fraud, so, also, are the findings to-</w:t>
      </w:r>
      <w:r>
        <w:rPr>
          <w:color w:val="000000"/>
          <w:w w:val="101"/>
        </w:rPr>
        <w:br/>
      </w:r>
      <w:r>
        <w:rPr>
          <w:color w:val="000000"/>
          <w:spacing w:val="-3"/>
        </w:rPr>
        <w:t>tally insufficient to establish fraud</w:t>
      </w:r>
      <w:r>
        <w:rPr>
          <w:rFonts w:ascii="Arial" w:hAnsi="Arial"/>
          <w:color w:val="000000"/>
          <w:spacing w:val="-3"/>
        </w:rPr>
        <w:t xml:space="preserve"> …</w:t>
      </w:r>
      <w:r>
        <w:rPr>
          <w:color w:val="000000"/>
          <w:spacing w:val="-3"/>
        </w:rPr>
        <w:t xml:space="preserve"> .”];</w:t>
      </w:r>
      <w:r>
        <w:rPr>
          <w:rFonts w:ascii="Times New Roman Italic" w:hAnsi="Times New Roman Italic"/>
          <w:color w:val="0000FF"/>
          <w:spacing w:val="-3"/>
        </w:rPr>
        <w:t xml:space="preserve"> </w:t>
      </w:r>
      <w:r>
        <w:rPr>
          <w:rFonts w:ascii="Times New Roman Italic" w:hAnsi="Times New Roman Italic"/>
          <w:color w:val="0000FF"/>
          <w:spacing w:val="-3"/>
          <w:u w:val="single"/>
        </w:rPr>
        <w:t xml:space="preserve"> Linde-</w:t>
      </w:r>
      <w:r>
        <w:rPr>
          <w:rFonts w:ascii="Times New Roman Italic" w:hAnsi="Times New Roman Italic"/>
          <w:color w:val="0000FF"/>
          <w:spacing w:val="-3"/>
          <w:u w:val="single"/>
        </w:rPr>
        <w:br/>
      </w:r>
      <w:r>
        <w:rPr>
          <w:rFonts w:ascii="Times New Roman Italic" w:hAnsi="Times New Roman Italic"/>
          <w:color w:val="0000FF"/>
          <w:w w:val="101"/>
          <w:u w:val="single"/>
        </w:rPr>
        <w:t>mann</w:t>
      </w:r>
      <w:r>
        <w:rPr>
          <w:color w:val="0000FF"/>
          <w:w w:val="101"/>
          <w:u w:val="single"/>
        </w:rPr>
        <w:t xml:space="preserve"> , at p. 791</w:t>
      </w:r>
      <w:r>
        <w:rPr>
          <w:color w:val="000000"/>
          <w:w w:val="101"/>
        </w:rPr>
        <w:t xml:space="preserve"> [“no questions of fraud, de-</w:t>
      </w:r>
      <w:r>
        <w:rPr>
          <w:color w:val="000000"/>
          <w:w w:val="101"/>
        </w:rPr>
        <w:br/>
      </w:r>
      <w:r>
        <w:rPr>
          <w:color w:val="000000"/>
        </w:rPr>
        <w:t>ceit or mistake are raised</w:t>
      </w:r>
      <w:r>
        <w:rPr>
          <w:rFonts w:ascii="Arial" w:hAnsi="Arial"/>
          <w:color w:val="000000"/>
        </w:rPr>
        <w:t xml:space="preserve"> …</w:t>
      </w:r>
      <w:r>
        <w:rPr>
          <w:color w:val="000000"/>
        </w:rPr>
        <w:t>”];</w:t>
      </w:r>
      <w:r>
        <w:rPr>
          <w:rFonts w:ascii="Times New Roman Italic" w:hAnsi="Times New Roman Italic"/>
          <w:color w:val="0000FF"/>
        </w:rPr>
        <w:t xml:space="preserve"> </w:t>
      </w:r>
      <w:r>
        <w:rPr>
          <w:rFonts w:ascii="Times New Roman Italic" w:hAnsi="Times New Roman Italic"/>
          <w:color w:val="0000FF"/>
          <w:u w:val="single"/>
        </w:rPr>
        <w:t xml:space="preserve"> McArthur</w:t>
      </w:r>
      <w:r>
        <w:rPr>
          <w:color w:val="0000FF"/>
          <w:u w:val="single"/>
        </w:rPr>
        <w:t xml:space="preserve"> , at p. </w:t>
      </w:r>
      <w:r>
        <w:rPr>
          <w:color w:val="0000FF"/>
          <w:spacing w:val="-1"/>
          <w:u w:val="single"/>
        </w:rPr>
        <w:t>581</w:t>
      </w:r>
      <w:r>
        <w:rPr>
          <w:color w:val="000000"/>
          <w:spacing w:val="-1"/>
        </w:rPr>
        <w:t xml:space="preserve"> [“ ‘No issues of invalidity, illegality,</w:t>
      </w:r>
    </w:p>
    <w:p w:rsidR="00491B30" w:rsidRDefault="00BA5DC6">
      <w:pPr>
        <w:spacing w:before="1" w:line="259" w:lineRule="exact"/>
        <w:ind w:left="20" w:right="639"/>
        <w:jc w:val="both"/>
        <w:rPr>
          <w:color w:val="000000"/>
          <w:w w:val="101"/>
        </w:rPr>
      </w:pPr>
      <w:r>
        <w:rPr>
          <w:color w:val="000000"/>
          <w:spacing w:val="-1"/>
        </w:rPr>
        <w:t xml:space="preserve">fraud, accident or mistake were tendered.’ ”]; </w:t>
      </w:r>
      <w:r>
        <w:rPr>
          <w:rFonts w:ascii="Times New Roman Italic" w:hAnsi="Times New Roman Italic"/>
          <w:color w:val="0000FF"/>
          <w:spacing w:val="-2"/>
          <w:u w:val="single"/>
        </w:rPr>
        <w:t xml:space="preserve"> Pierce</w:t>
      </w:r>
      <w:r>
        <w:rPr>
          <w:color w:val="0000FF"/>
          <w:spacing w:val="-2"/>
          <w:u w:val="single"/>
        </w:rPr>
        <w:t xml:space="preserve"> , at p. 331</w:t>
      </w:r>
      <w:r>
        <w:rPr>
          <w:color w:val="000000"/>
          <w:spacing w:val="-2"/>
        </w:rPr>
        <w:t xml:space="preserve"> [no allegation of fraud];</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Booth</w:t>
      </w:r>
      <w:r>
        <w:rPr>
          <w:color w:val="0000FF"/>
          <w:spacing w:val="-2"/>
          <w:u w:val="single"/>
        </w:rPr>
        <w:t xml:space="preserve"> , </w:t>
      </w:r>
      <w:r>
        <w:rPr>
          <w:color w:val="0000FF"/>
          <w:w w:val="101"/>
          <w:u w:val="single"/>
        </w:rPr>
        <w:t>at p. 276</w:t>
      </w:r>
      <w:r>
        <w:rPr>
          <w:color w:val="000000"/>
          <w:w w:val="101"/>
        </w:rPr>
        <w:t xml:space="preserve"> [no fraud; “The whole case shows</w:t>
      </w:r>
    </w:p>
    <w:p w:rsidR="00491B30" w:rsidRDefault="00BA5DC6">
      <w:pPr>
        <w:spacing w:line="259" w:lineRule="exact"/>
        <w:ind w:left="20" w:right="683"/>
        <w:jc w:val="both"/>
        <w:rPr>
          <w:color w:val="000000"/>
          <w:spacing w:val="-1"/>
        </w:rPr>
      </w:pPr>
      <w:r>
        <w:rPr>
          <w:color w:val="000000"/>
          <w:w w:val="103"/>
        </w:rPr>
        <w:t xml:space="preserve">that Booth justly owed the defendant all the </w:t>
      </w:r>
      <w:r>
        <w:rPr>
          <w:color w:val="000000"/>
        </w:rPr>
        <w:t>money claimed by him.”];</w:t>
      </w:r>
      <w:r>
        <w:rPr>
          <w:rFonts w:ascii="Times New Roman Italic" w:hAnsi="Times New Roman Italic"/>
          <w:color w:val="0000FF"/>
        </w:rPr>
        <w:t xml:space="preserve"> </w:t>
      </w:r>
      <w:r>
        <w:rPr>
          <w:rFonts w:ascii="Times New Roman Italic" w:hAnsi="Times New Roman Italic"/>
          <w:color w:val="0000FF"/>
          <w:u w:val="single"/>
        </w:rPr>
        <w:t xml:space="preserve"> Watterson</w:t>
      </w:r>
      <w:r>
        <w:rPr>
          <w:color w:val="0000FF"/>
          <w:u w:val="single"/>
        </w:rPr>
        <w:t xml:space="preserve"> , at p. 745 </w:t>
      </w:r>
      <w:r>
        <w:rPr>
          <w:color w:val="000000"/>
          <w:spacing w:val="-1"/>
        </w:rPr>
        <w:t>[discussing mistake and ambiguity, but not</w:t>
      </w:r>
    </w:p>
    <w:p w:rsidR="00491B30" w:rsidRDefault="00BA5DC6">
      <w:pPr>
        <w:spacing w:line="259" w:lineRule="exact"/>
        <w:ind w:left="20"/>
        <w:rPr>
          <w:color w:val="000000"/>
          <w:spacing w:val="-3"/>
        </w:rPr>
      </w:pPr>
      <w:r>
        <w:rPr>
          <w:color w:val="000000"/>
          <w:spacing w:val="-3"/>
        </w:rPr>
        <w:t>fraud].)</w:t>
      </w:r>
    </w:p>
    <w:p w:rsidR="00491B30" w:rsidRDefault="00BA5DC6">
      <w:pPr>
        <w:spacing w:before="200" w:line="259" w:lineRule="exact"/>
        <w:ind w:left="20" w:right="639"/>
        <w:rPr>
          <w:color w:val="000000"/>
        </w:rPr>
      </w:pPr>
      <w:r>
        <w:rPr>
          <w:rFonts w:ascii="Times New Roman Bold Italic" w:hAnsi="Times New Roman Bold Italic"/>
          <w:color w:val="000000"/>
          <w:spacing w:val="-1"/>
        </w:rPr>
        <w:t>CA(5)</w:t>
      </w:r>
      <w:r>
        <w:rPr>
          <w:color w:val="000000"/>
          <w:spacing w:val="-1"/>
        </w:rPr>
        <w:t xml:space="preserve"> (5) Accordingly, we conclude that</w:t>
      </w:r>
      <w:r>
        <w:rPr>
          <w:rFonts w:ascii="Times New Roman Italic" w:hAnsi="Times New Roman Italic"/>
          <w:color w:val="000000"/>
          <w:spacing w:val="-1"/>
        </w:rPr>
        <w:t xml:space="preserve"> Pend-</w:t>
      </w:r>
      <w:r>
        <w:rPr>
          <w:rFonts w:ascii="Times New Roman Italic" w:hAnsi="Times New Roman Italic"/>
          <w:color w:val="000000"/>
          <w:spacing w:val="-1"/>
        </w:rPr>
        <w:br/>
      </w:r>
      <w:r>
        <w:rPr>
          <w:rFonts w:ascii="Times New Roman Italic" w:hAnsi="Times New Roman Italic"/>
          <w:color w:val="000000"/>
        </w:rPr>
        <w:t>ergrass</w:t>
      </w:r>
      <w:r>
        <w:rPr>
          <w:color w:val="000000"/>
        </w:rPr>
        <w:t xml:space="preserve"> was an aberration. It purported to fol-</w:t>
      </w:r>
      <w:r>
        <w:rPr>
          <w:color w:val="000000"/>
        </w:rPr>
        <w:br/>
      </w:r>
      <w:r>
        <w:rPr>
          <w:color w:val="000000"/>
          <w:spacing w:val="-1"/>
        </w:rPr>
        <w:t>low</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section 1856</w:t>
      </w:r>
      <w:r>
        <w:rPr>
          <w:color w:val="000000"/>
          <w:spacing w:val="-1"/>
        </w:rPr>
        <w:t xml:space="preserve"> (</w:t>
      </w:r>
      <w:r>
        <w:rPr>
          <w:rFonts w:ascii="Times New Roman Italic" w:hAnsi="Times New Roman Italic"/>
          <w:color w:val="0000FF"/>
          <w:spacing w:val="-1"/>
          <w:u w:val="single"/>
        </w:rPr>
        <w:t xml:space="preserve"> Pendergrass, supra</w:t>
      </w:r>
      <w:r>
        <w:rPr>
          <w:color w:val="0000FF"/>
          <w:spacing w:val="-1"/>
          <w:u w:val="single"/>
        </w:rPr>
        <w:t xml:space="preserve"> , 4 Cal.2d </w:t>
      </w:r>
      <w:r>
        <w:rPr>
          <w:color w:val="0000FF"/>
          <w:spacing w:val="-1"/>
          <w:u w:val="single"/>
        </w:rPr>
        <w:br/>
      </w:r>
      <w:r>
        <w:rPr>
          <w:color w:val="0000FF"/>
          <w:w w:val="101"/>
          <w:u w:val="single"/>
        </w:rPr>
        <w:t>at p. 264</w:t>
      </w:r>
      <w:r>
        <w:rPr>
          <w:color w:val="000000"/>
          <w:w w:val="101"/>
        </w:rPr>
        <w:t>), but its restriction on the fraud ex-</w:t>
      </w:r>
      <w:r>
        <w:rPr>
          <w:color w:val="000000"/>
          <w:w w:val="101"/>
        </w:rPr>
        <w:br/>
      </w:r>
      <w:r>
        <w:rPr>
          <w:color w:val="000000"/>
        </w:rPr>
        <w:t xml:space="preserve">ception was inconsistent with the terms of the </w:t>
      </w:r>
      <w:r>
        <w:rPr>
          <w:color w:val="000000"/>
        </w:rPr>
        <w:br/>
      </w:r>
      <w:r>
        <w:rPr>
          <w:color w:val="000000"/>
          <w:spacing w:val="-1"/>
        </w:rPr>
        <w:t>statute, and with settled case law as well.</w:t>
      </w:r>
      <w:r>
        <w:rPr>
          <w:rFonts w:ascii="Times New Roman Italic" w:hAnsi="Times New Roman Italic"/>
          <w:color w:val="000000"/>
          <w:spacing w:val="-1"/>
        </w:rPr>
        <w:t xml:space="preserve"> Pend-</w:t>
      </w:r>
      <w:r>
        <w:rPr>
          <w:rFonts w:ascii="Times New Roman Italic" w:hAnsi="Times New Roman Italic"/>
          <w:color w:val="000000"/>
          <w:spacing w:val="-1"/>
        </w:rPr>
        <w:br/>
      </w:r>
      <w:r>
        <w:rPr>
          <w:rFonts w:ascii="Times New Roman Italic" w:hAnsi="Times New Roman Italic"/>
          <w:color w:val="000000"/>
        </w:rPr>
        <w:t>ergrass</w:t>
      </w:r>
      <w:r>
        <w:rPr>
          <w:color w:val="000000"/>
        </w:rPr>
        <w:t xml:space="preserve"> failed to account for the fundamental </w:t>
      </w:r>
      <w:r>
        <w:rPr>
          <w:color w:val="000000"/>
        </w:rPr>
        <w:br/>
      </w:r>
      <w:r>
        <w:rPr>
          <w:color w:val="000000"/>
          <w:spacing w:val="-1"/>
        </w:rPr>
        <w:t>principle that</w:t>
      </w:r>
      <w:r>
        <w:rPr>
          <w:rFonts w:ascii="Times New Roman Bold Italic" w:hAnsi="Times New Roman Bold Italic"/>
          <w:color w:val="000000"/>
          <w:spacing w:val="-1"/>
        </w:rPr>
        <w:t xml:space="preserve"> HN9</w:t>
      </w:r>
      <w:r>
        <w:rPr>
          <w:color w:val="000000"/>
          <w:spacing w:val="-1"/>
        </w:rPr>
        <w:t xml:space="preserve"> fraud undermines the essen-</w:t>
      </w:r>
      <w:r>
        <w:rPr>
          <w:color w:val="000000"/>
          <w:spacing w:val="-1"/>
        </w:rPr>
        <w:br/>
      </w:r>
      <w:r>
        <w:rPr>
          <w:color w:val="000000"/>
        </w:rPr>
        <w:t xml:space="preserve">tial validity of the parties’ agreement. When </w:t>
      </w:r>
      <w:r>
        <w:rPr>
          <w:color w:val="000000"/>
        </w:rPr>
        <w:br/>
      </w:r>
      <w:r>
        <w:rPr>
          <w:color w:val="000000"/>
          <w:spacing w:val="-1"/>
        </w:rPr>
        <w:t xml:space="preserve">fraud is proven, it cannot be maintained that the </w:t>
      </w:r>
      <w:r>
        <w:rPr>
          <w:color w:val="000000"/>
          <w:spacing w:val="-1"/>
        </w:rPr>
        <w:br/>
      </w:r>
      <w:r>
        <w:rPr>
          <w:color w:val="000000"/>
          <w:spacing w:val="-3"/>
        </w:rPr>
        <w:t>parties freely entered into an agreement reflect-</w:t>
      </w:r>
      <w:r>
        <w:rPr>
          <w:color w:val="000000"/>
          <w:spacing w:val="-3"/>
        </w:rPr>
        <w:br/>
      </w:r>
      <w:r>
        <w:rPr>
          <w:color w:val="000000"/>
        </w:rPr>
        <w:t xml:space="preserve">ing a meeting of the </w:t>
      </w:r>
      <w:r>
        <w:rPr>
          <w:color w:val="000000"/>
        </w:rPr>
        <w:t>minds. Moreover,</w:t>
      </w:r>
    </w:p>
    <w:p w:rsidR="00491B30" w:rsidRDefault="00BA5DC6">
      <w:pPr>
        <w:spacing w:before="1" w:line="259" w:lineRule="exact"/>
        <w:ind w:left="20" w:right="639" w:firstLine="79"/>
        <w:rPr>
          <w:rFonts w:ascii="Times New Roman Italic" w:hAnsi="Times New Roman Italic"/>
          <w:color w:val="000000"/>
        </w:rPr>
      </w:pPr>
      <w:r>
        <w:rPr>
          <w:rFonts w:ascii="Times New Roman Bold" w:hAnsi="Times New Roman Bold"/>
          <w:color w:val="000000"/>
        </w:rPr>
        <w:t>[**28]</w:t>
      </w:r>
      <w:r>
        <w:rPr>
          <w:rFonts w:ascii="Times New Roman Italic" w:hAnsi="Times New Roman Italic"/>
          <w:color w:val="000000"/>
        </w:rPr>
        <w:t xml:space="preserve"> Pendergrass</w:t>
      </w:r>
      <w:r>
        <w:rPr>
          <w:color w:val="000000"/>
        </w:rPr>
        <w:t xml:space="preserve"> has led to instability in the law, as courts have strained to avoid abuses of the parol evidence rule. The</w:t>
      </w:r>
      <w:r>
        <w:rPr>
          <w:rFonts w:ascii="Times New Roman Italic" w:hAnsi="Times New Roman Italic"/>
          <w:color w:val="000000"/>
        </w:rPr>
        <w:t xml:space="preserve"> Pendergrass</w:t>
      </w:r>
    </w:p>
    <w:p w:rsidR="00491B30" w:rsidRDefault="00BA5DC6">
      <w:pPr>
        <w:spacing w:before="1" w:line="259" w:lineRule="exact"/>
        <w:ind w:left="20" w:right="668"/>
        <w:jc w:val="both"/>
        <w:rPr>
          <w:color w:val="000000"/>
        </w:rPr>
      </w:pPr>
      <w:r>
        <w:rPr>
          <w:color w:val="000000"/>
        </w:rPr>
        <w:t xml:space="preserve">court sought to “ ‘prevent frauds and perjuries’ </w:t>
      </w:r>
      <w:r>
        <w:rPr>
          <w:color w:val="000000"/>
          <w:spacing w:val="-4"/>
        </w:rPr>
        <w:t>” (</w:t>
      </w:r>
      <w:r>
        <w:rPr>
          <w:rFonts w:ascii="Times New Roman Italic" w:hAnsi="Times New Roman Italic"/>
          <w:color w:val="0000FF"/>
          <w:spacing w:val="-4"/>
          <w:u w:val="single"/>
        </w:rPr>
        <w:t xml:space="preserve"> id.</w:t>
      </w:r>
      <w:r>
        <w:rPr>
          <w:color w:val="0000FF"/>
          <w:spacing w:val="-4"/>
          <w:u w:val="single"/>
        </w:rPr>
        <w:t xml:space="preserve">  at p. 263</w:t>
      </w:r>
      <w:r>
        <w:rPr>
          <w:color w:val="000000"/>
          <w:spacing w:val="-4"/>
        </w:rPr>
        <w:t>), but ignored California law pro-</w:t>
      </w:r>
      <w:r>
        <w:rPr>
          <w:color w:val="000000"/>
          <w:spacing w:val="-4"/>
        </w:rPr>
        <w:br/>
      </w:r>
      <w:r>
        <w:rPr>
          <w:color w:val="000000"/>
        </w:rPr>
        <w:t>tecting against promissory fraud. The fraud ex-</w:t>
      </w:r>
      <w:r>
        <w:rPr>
          <w:color w:val="000000"/>
        </w:rPr>
        <w:br/>
        <w:t>ception has been part of the parol evidence</w:t>
      </w:r>
    </w:p>
    <w:p w:rsidR="00491B30" w:rsidRDefault="00BA5DC6">
      <w:pPr>
        <w:spacing w:line="259" w:lineRule="exact"/>
        <w:ind w:left="20" w:right="639"/>
        <w:rPr>
          <w:rFonts w:ascii="Times New Roman Italic" w:hAnsi="Times New Roman Italic"/>
          <w:color w:val="0000FF"/>
          <w:u w:val="single"/>
        </w:rPr>
      </w:pPr>
      <w:r>
        <w:rPr>
          <w:color w:val="000000"/>
          <w:w w:val="105"/>
        </w:rPr>
        <w:t>rule since the earliest days of our jurispru-</w:t>
      </w:r>
      <w:r>
        <w:rPr>
          <w:color w:val="000000"/>
          <w:w w:val="105"/>
        </w:rPr>
        <w:br/>
      </w:r>
      <w:r>
        <w:rPr>
          <w:color w:val="000000"/>
          <w:spacing w:val="-1"/>
        </w:rPr>
        <w:t>dence, and the</w:t>
      </w:r>
      <w:r>
        <w:rPr>
          <w:rFonts w:ascii="Times New Roman Italic" w:hAnsi="Times New Roman Italic"/>
          <w:color w:val="000000"/>
          <w:spacing w:val="-1"/>
        </w:rPr>
        <w:t xml:space="preserve"> Pendergrass</w:t>
      </w:r>
      <w:r>
        <w:rPr>
          <w:color w:val="000000"/>
          <w:spacing w:val="-1"/>
        </w:rPr>
        <w:t xml:space="preserve"> opinion did not jus-</w:t>
      </w:r>
      <w:r>
        <w:rPr>
          <w:color w:val="000000"/>
          <w:spacing w:val="-1"/>
        </w:rPr>
        <w:br/>
      </w:r>
      <w:r>
        <w:rPr>
          <w:color w:val="000000"/>
        </w:rPr>
        <w:t>tify the abridgment it imposed.</w:t>
      </w:r>
      <w:r>
        <w:rPr>
          <w:rFonts w:ascii="Times New Roman Bold Italic" w:hAnsi="Times New Roman Bold Italic"/>
          <w:color w:val="000000"/>
        </w:rPr>
        <w:t xml:space="preserve"> CA(6)</w:t>
      </w:r>
      <w:r>
        <w:rPr>
          <w:color w:val="000000"/>
        </w:rPr>
        <w:t xml:space="preserve"> (6) For these reasons,</w:t>
      </w:r>
      <w:r>
        <w:rPr>
          <w:rFonts w:ascii="Times New Roman Bold Italic" w:hAnsi="Times New Roman Bold Italic"/>
          <w:color w:val="000000"/>
        </w:rPr>
        <w:t xml:space="preserve"> HN10</w:t>
      </w:r>
      <w:r>
        <w:rPr>
          <w:color w:val="000000"/>
        </w:rPr>
        <w:t xml:space="preserve"> we </w:t>
      </w:r>
      <w:r>
        <w:rPr>
          <w:color w:val="000000"/>
        </w:rPr>
        <w:t>overrule</w:t>
      </w:r>
      <w:r>
        <w:rPr>
          <w:rFonts w:ascii="Times New Roman Italic" w:hAnsi="Times New Roman Italic"/>
          <w:color w:val="0000FF"/>
        </w:rPr>
        <w:t xml:space="preserve"> </w:t>
      </w:r>
      <w:r>
        <w:rPr>
          <w:rFonts w:ascii="Times New Roman Italic" w:hAnsi="Times New Roman Italic"/>
          <w:color w:val="0000FF"/>
          <w:u w:val="single"/>
        </w:rPr>
        <w:t xml:space="preserve"> Bank of</w:t>
      </w:r>
    </w:p>
    <w:p w:rsidR="00491B30" w:rsidRDefault="00BA5DC6">
      <w:pPr>
        <w:spacing w:line="259" w:lineRule="exact"/>
        <w:ind w:left="20" w:right="639"/>
        <w:rPr>
          <w:color w:val="000000"/>
          <w:w w:val="101"/>
        </w:rPr>
      </w:pPr>
      <w:r>
        <w:rPr>
          <w:rFonts w:ascii="Times New Roman Italic" w:hAnsi="Times New Roman Italic"/>
          <w:color w:val="0000FF"/>
          <w:spacing w:val="-1"/>
          <w:u w:val="single"/>
        </w:rPr>
        <w:t>America etc. Assn. v. Pendergrass, supra</w:t>
      </w:r>
      <w:r>
        <w:rPr>
          <w:color w:val="0000FF"/>
          <w:spacing w:val="-1"/>
          <w:u w:val="single"/>
        </w:rPr>
        <w:t xml:space="preserve"> , 4 </w:t>
      </w:r>
      <w:r>
        <w:rPr>
          <w:color w:val="0000FF"/>
          <w:spacing w:val="-1"/>
          <w:u w:val="single"/>
        </w:rPr>
        <w:br/>
      </w:r>
      <w:r>
        <w:rPr>
          <w:color w:val="0000FF"/>
          <w:spacing w:val="-4"/>
          <w:u w:val="single"/>
        </w:rPr>
        <w:t>Cal.2d 258</w:t>
      </w:r>
      <w:r>
        <w:rPr>
          <w:color w:val="000000"/>
          <w:spacing w:val="-4"/>
        </w:rPr>
        <w:t xml:space="preserve"> and its progeny, and reaffirm the ven-</w:t>
      </w:r>
      <w:r>
        <w:rPr>
          <w:color w:val="000000"/>
          <w:spacing w:val="-4"/>
        </w:rPr>
        <w:br/>
      </w:r>
      <w:r>
        <w:rPr>
          <w:color w:val="000000"/>
        </w:rPr>
        <w:t>erable maxim stated in</w:t>
      </w:r>
      <w:r>
        <w:rPr>
          <w:rFonts w:ascii="Times New Roman Italic" w:hAnsi="Times New Roman Italic"/>
          <w:color w:val="0000FF"/>
        </w:rPr>
        <w:t xml:space="preserve"> </w:t>
      </w:r>
      <w:r>
        <w:rPr>
          <w:rFonts w:ascii="Times New Roman Italic" w:hAnsi="Times New Roman Italic"/>
          <w:color w:val="0000FF"/>
          <w:u w:val="single"/>
        </w:rPr>
        <w:t xml:space="preserve"> Ferguson v. Koch, su-</w:t>
      </w:r>
      <w:r>
        <w:rPr>
          <w:rFonts w:ascii="Times New Roman Italic" w:hAnsi="Times New Roman Italic"/>
          <w:color w:val="0000FF"/>
          <w:u w:val="single"/>
        </w:rPr>
        <w:br/>
      </w:r>
      <w:r>
        <w:rPr>
          <w:rFonts w:ascii="Times New Roman Italic" w:hAnsi="Times New Roman Italic"/>
          <w:color w:val="0000FF"/>
          <w:w w:val="103"/>
          <w:u w:val="single"/>
        </w:rPr>
        <w:t>pra</w:t>
      </w:r>
      <w:r>
        <w:rPr>
          <w:color w:val="0000FF"/>
          <w:w w:val="103"/>
          <w:u w:val="single"/>
        </w:rPr>
        <w:t xml:space="preserve"> , 204 Cal. at page 347</w:t>
      </w:r>
      <w:r>
        <w:rPr>
          <w:color w:val="000000"/>
          <w:w w:val="103"/>
        </w:rPr>
        <w:t>: “[I]t was never in-</w:t>
      </w:r>
      <w:r>
        <w:rPr>
          <w:color w:val="000000"/>
          <w:w w:val="103"/>
        </w:rPr>
        <w:br/>
      </w:r>
      <w:r>
        <w:rPr>
          <w:color w:val="000000"/>
        </w:rPr>
        <w:t xml:space="preserve">tended that the parol evidence rule should be </w:t>
      </w:r>
      <w:r>
        <w:rPr>
          <w:color w:val="000000"/>
        </w:rPr>
        <w:br/>
      </w:r>
      <w:r>
        <w:rPr>
          <w:color w:val="000000"/>
          <w:w w:val="101"/>
        </w:rPr>
        <w:t>used as a shield to prevent the proof of fraud.”</w:t>
      </w:r>
    </w:p>
    <w:p w:rsidR="00491B30" w:rsidRDefault="00BA5DC6">
      <w:pPr>
        <w:spacing w:before="1" w:line="259" w:lineRule="exact"/>
        <w:ind w:left="100"/>
        <w:rPr>
          <w:rFonts w:ascii="Times New Roman Bold" w:hAnsi="Times New Roman Bold"/>
          <w:color w:val="000000"/>
          <w:spacing w:val="-5"/>
        </w:rPr>
      </w:pPr>
      <w:r>
        <w:rPr>
          <w:rFonts w:ascii="Times New Roman Bold" w:hAnsi="Times New Roman Bold"/>
          <w:color w:val="000000"/>
          <w:spacing w:val="-5"/>
        </w:rPr>
        <w:t>[*1183]</w:t>
      </w:r>
    </w:p>
    <w:p w:rsidR="00491B30" w:rsidRDefault="00BA5DC6">
      <w:pPr>
        <w:spacing w:before="200" w:line="259" w:lineRule="exact"/>
        <w:ind w:left="20" w:right="639"/>
        <w:jc w:val="both"/>
        <w:rPr>
          <w:color w:val="0000FF"/>
          <w:u w:val="single"/>
        </w:rPr>
      </w:pPr>
      <w:r>
        <w:rPr>
          <w:rFonts w:ascii="Times New Roman Bold Italic" w:hAnsi="Times New Roman Bold Italic"/>
          <w:color w:val="000000"/>
          <w:spacing w:val="-5"/>
        </w:rPr>
        <w:t>CA(7)</w:t>
      </w:r>
      <w:r>
        <w:rPr>
          <w:color w:val="000000"/>
          <w:spacing w:val="-5"/>
        </w:rPr>
        <w:t xml:space="preserve"> (7) This court took a similar action in</w:t>
      </w:r>
      <w:r>
        <w:rPr>
          <w:rFonts w:ascii="Times New Roman Italic" w:hAnsi="Times New Roman Italic"/>
          <w:color w:val="0000FF"/>
          <w:spacing w:val="-5"/>
        </w:rPr>
        <w:t xml:space="preserve"> </w:t>
      </w:r>
      <w:r>
        <w:rPr>
          <w:rFonts w:ascii="Times New Roman Italic" w:hAnsi="Times New Roman Italic"/>
          <w:color w:val="0000FF"/>
          <w:spacing w:val="-5"/>
          <w:u w:val="single"/>
        </w:rPr>
        <w:t xml:space="preserve"> Ten-</w:t>
      </w:r>
      <w:r>
        <w:rPr>
          <w:rFonts w:ascii="Times New Roman Italic" w:hAnsi="Times New Roman Italic"/>
          <w:color w:val="0000FF"/>
          <w:spacing w:val="-5"/>
          <w:u w:val="single"/>
        </w:rPr>
        <w:br/>
      </w:r>
      <w:r>
        <w:rPr>
          <w:rFonts w:ascii="Times New Roman Italic" w:hAnsi="Times New Roman Italic"/>
          <w:color w:val="0000FF"/>
          <w:u w:val="single"/>
        </w:rPr>
        <w:t>zer v. Superscope, Inc.</w:t>
      </w:r>
      <w:r>
        <w:rPr>
          <w:color w:val="0000FF"/>
          <w:u w:val="single"/>
        </w:rPr>
        <w:t xml:space="preserve">  (1985) 39 Cal.3d 18</w:t>
      </w:r>
    </w:p>
    <w:p w:rsidR="00491B30" w:rsidRDefault="00BA5DC6">
      <w:pPr>
        <w:spacing w:before="1" w:line="259" w:lineRule="exact"/>
        <w:ind w:left="20" w:right="640"/>
        <w:jc w:val="both"/>
        <w:rPr>
          <w:color w:val="000000"/>
        </w:rPr>
      </w:pPr>
      <w:r>
        <w:rPr>
          <w:color w:val="0000FF"/>
          <w:spacing w:val="-5"/>
          <w:u w:val="single"/>
        </w:rPr>
        <w:t>[216 Cal. Rptr. 130, 702 P.2d 212]</w:t>
      </w:r>
      <w:r>
        <w:rPr>
          <w:color w:val="000000"/>
          <w:spacing w:val="-5"/>
        </w:rPr>
        <w:t xml:space="preserve"> (</w:t>
      </w:r>
      <w:r>
        <w:rPr>
          <w:rFonts w:ascii="Times New Roman Italic" w:hAnsi="Times New Roman Italic"/>
          <w:color w:val="000000"/>
          <w:spacing w:val="-5"/>
        </w:rPr>
        <w:t>Tenzer</w:t>
      </w:r>
      <w:r>
        <w:rPr>
          <w:color w:val="000000"/>
          <w:spacing w:val="-5"/>
        </w:rPr>
        <w:t>).</w:t>
      </w:r>
      <w:r>
        <w:rPr>
          <w:rFonts w:ascii="Times New Roman Italic" w:hAnsi="Times New Roman Italic"/>
          <w:color w:val="000000"/>
          <w:spacing w:val="-5"/>
        </w:rPr>
        <w:t xml:space="preserve"> Ten-</w:t>
      </w:r>
      <w:r>
        <w:rPr>
          <w:rFonts w:ascii="Times New Roman Italic" w:hAnsi="Times New Roman Italic"/>
          <w:color w:val="000000"/>
          <w:spacing w:val="-5"/>
        </w:rPr>
        <w:br/>
      </w:r>
      <w:r>
        <w:rPr>
          <w:rFonts w:ascii="Times New Roman Italic" w:hAnsi="Times New Roman Italic"/>
          <w:color w:val="000000"/>
        </w:rPr>
        <w:t>zer</w:t>
      </w:r>
      <w:r>
        <w:rPr>
          <w:color w:val="000000"/>
        </w:rPr>
        <w:t xml:space="preserve"> disapproved a 44-year-old line of cases to </w:t>
      </w:r>
    </w:p>
    <w:p w:rsidR="00491B30" w:rsidRDefault="00491B30">
      <w:pPr>
        <w:rPr>
          <w:color w:val="000000"/>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30" w:lineRule="exact"/>
        <w:ind w:left="5183"/>
        <w:rPr>
          <w:color w:val="000000"/>
        </w:rPr>
      </w:pPr>
    </w:p>
    <w:p w:rsidR="00491B30" w:rsidRDefault="00BA5DC6">
      <w:pPr>
        <w:spacing w:before="50" w:line="230" w:lineRule="exact"/>
        <w:ind w:left="5183"/>
        <w:rPr>
          <w:color w:val="000000"/>
          <w:spacing w:val="-1"/>
          <w:sz w:val="20"/>
        </w:rPr>
      </w:pPr>
      <w:r>
        <w:rPr>
          <w:color w:val="000000"/>
          <w:spacing w:val="-1"/>
          <w:sz w:val="20"/>
        </w:rPr>
        <w:t xml:space="preserve">Charles Cox </w:t>
      </w:r>
    </w:p>
    <w:p w:rsidR="00491B30" w:rsidRDefault="00491B30">
      <w:pPr>
        <w:rPr>
          <w:color w:val="000000"/>
          <w:spacing w:val="-1"/>
          <w:sz w:val="20"/>
        </w:rPr>
        <w:sectPr w:rsidR="00491B30">
          <w:type w:val="continuous"/>
          <w:pgSz w:w="12220" w:h="15820"/>
          <w:pgMar w:top="431" w:right="431" w:bottom="431" w:left="431" w:header="720" w:footer="720" w:gutter="0"/>
          <w:cols w:space="720"/>
        </w:sectPr>
      </w:pPr>
    </w:p>
    <w:p w:rsidR="00491B30" w:rsidRDefault="00BA5DC6">
      <w:pPr>
        <w:spacing w:before="178" w:line="230" w:lineRule="exact"/>
        <w:ind w:left="3533"/>
        <w:rPr>
          <w:color w:val="000000"/>
          <w:sz w:val="20"/>
        </w:rPr>
      </w:pPr>
      <w:bookmarkStart w:id="13" w:name="Pg14"/>
      <w:bookmarkEnd w:id="13"/>
      <w:r>
        <w:rPr>
          <w:color w:val="000000"/>
          <w:sz w:val="20"/>
        </w:rPr>
        <w:lastRenderedPageBreak/>
        <w:t>55 Cal. 4th 1169, *1183; 2013 Cal. LEXIS 253, **28</w:t>
      </w:r>
    </w:p>
    <w:p w:rsidR="00491B30" w:rsidRDefault="00491B30">
      <w:pPr>
        <w:rPr>
          <w:color w:val="000000"/>
          <w:sz w:val="20"/>
        </w:rPr>
        <w:sectPr w:rsidR="00491B30">
          <w:pgSz w:w="12220" w:h="15820"/>
          <w:pgMar w:top="431" w:right="431" w:bottom="431" w:left="431" w:header="720" w:footer="720" w:gutter="0"/>
          <w:cols w:space="720"/>
        </w:sectPr>
      </w:pPr>
    </w:p>
    <w:p w:rsidR="00491B30" w:rsidRDefault="00491B30">
      <w:pPr>
        <w:spacing w:line="259" w:lineRule="exact"/>
        <w:ind w:left="898"/>
        <w:rPr>
          <w:color w:val="000000"/>
          <w:sz w:val="20"/>
        </w:rPr>
      </w:pPr>
    </w:p>
    <w:p w:rsidR="00491B30" w:rsidRDefault="00491B30">
      <w:pPr>
        <w:spacing w:line="259" w:lineRule="exact"/>
        <w:ind w:left="898"/>
        <w:rPr>
          <w:color w:val="000000"/>
          <w:sz w:val="20"/>
        </w:rPr>
      </w:pPr>
    </w:p>
    <w:p w:rsidR="00491B30" w:rsidRDefault="00BA5DC6">
      <w:pPr>
        <w:spacing w:before="22" w:line="259" w:lineRule="exact"/>
        <w:ind w:left="898"/>
        <w:rPr>
          <w:color w:val="000000"/>
          <w:w w:val="101"/>
        </w:rPr>
      </w:pPr>
      <w:r>
        <w:rPr>
          <w:color w:val="000000"/>
        </w:rPr>
        <w:t>bring California law into accord with the Re-</w:t>
      </w:r>
      <w:r>
        <w:rPr>
          <w:color w:val="000000"/>
        </w:rPr>
        <w:br/>
      </w:r>
      <w:r>
        <w:rPr>
          <w:color w:val="000000"/>
          <w:spacing w:val="-2"/>
        </w:rPr>
        <w:t>statement Second of Torts, holding that</w:t>
      </w:r>
      <w:r>
        <w:rPr>
          <w:rFonts w:ascii="Times New Roman Bold Italic" w:hAnsi="Times New Roman Bold Italic"/>
          <w:color w:val="000000"/>
          <w:spacing w:val="-2"/>
        </w:rPr>
        <w:t xml:space="preserve"> HN11</w:t>
      </w:r>
      <w:r>
        <w:rPr>
          <w:color w:val="000000"/>
          <w:spacing w:val="-2"/>
        </w:rPr>
        <w:t xml:space="preserve"> a </w:t>
      </w:r>
      <w:r>
        <w:rPr>
          <w:color w:val="000000"/>
          <w:spacing w:val="-2"/>
        </w:rPr>
        <w:br/>
      </w:r>
      <w:r>
        <w:rPr>
          <w:color w:val="000000"/>
        </w:rPr>
        <w:t xml:space="preserve">fraud action is not barred when the allegedly </w:t>
      </w:r>
      <w:r>
        <w:rPr>
          <w:color w:val="000000"/>
        </w:rPr>
        <w:br/>
        <w:t xml:space="preserve">fraudulent promise is unenforceable under the </w:t>
      </w:r>
      <w:r>
        <w:rPr>
          <w:color w:val="000000"/>
        </w:rPr>
        <w:br/>
      </w:r>
      <w:r>
        <w:rPr>
          <w:color w:val="000000"/>
          <w:w w:val="101"/>
        </w:rPr>
        <w:t>statute of frauds. Considerations that were per-</w:t>
      </w:r>
      <w:r>
        <w:rPr>
          <w:color w:val="000000"/>
          <w:w w:val="101"/>
        </w:rPr>
        <w:br/>
      </w:r>
      <w:r>
        <w:rPr>
          <w:color w:val="000000"/>
          <w:spacing w:val="-1"/>
        </w:rPr>
        <w:t>suasive in</w:t>
      </w:r>
      <w:r>
        <w:rPr>
          <w:rFonts w:ascii="Times New Roman Italic" w:hAnsi="Times New Roman Italic"/>
          <w:color w:val="000000"/>
          <w:spacing w:val="-1"/>
        </w:rPr>
        <w:t xml:space="preserve"> Tenzer</w:t>
      </w:r>
      <w:r>
        <w:rPr>
          <w:color w:val="000000"/>
          <w:spacing w:val="-1"/>
        </w:rPr>
        <w:t xml:space="preserve"> also support our conclusion </w:t>
      </w:r>
      <w:r>
        <w:rPr>
          <w:color w:val="000000"/>
          <w:spacing w:val="-1"/>
        </w:rPr>
        <w:br/>
        <w:t>here. The</w:t>
      </w:r>
      <w:r>
        <w:rPr>
          <w:rFonts w:ascii="Times New Roman Italic" w:hAnsi="Times New Roman Italic"/>
          <w:color w:val="000000"/>
          <w:spacing w:val="-1"/>
        </w:rPr>
        <w:t xml:space="preserve"> Tenzer</w:t>
      </w:r>
      <w:r>
        <w:rPr>
          <w:color w:val="000000"/>
          <w:spacing w:val="-1"/>
        </w:rPr>
        <w:t xml:space="preserve"> court decided the Restatement </w:t>
      </w:r>
      <w:r>
        <w:rPr>
          <w:color w:val="000000"/>
          <w:spacing w:val="-1"/>
        </w:rPr>
        <w:br/>
      </w:r>
      <w:r>
        <w:rPr>
          <w:color w:val="000000"/>
          <w:spacing w:val="-2"/>
        </w:rPr>
        <w:t>view was better as</w:t>
      </w:r>
      <w:r>
        <w:rPr>
          <w:color w:val="000000"/>
          <w:spacing w:val="-2"/>
        </w:rPr>
        <w:t xml:space="preserve"> a matter of policy.</w:t>
      </w:r>
      <w:r>
        <w:rPr>
          <w:rFonts w:ascii="Times New Roman Bold" w:hAnsi="Times New Roman Bold"/>
          <w:color w:val="000000"/>
          <w:spacing w:val="-2"/>
        </w:rPr>
        <w:t xml:space="preserve"> [**29]</w:t>
      </w:r>
      <w:r>
        <w:rPr>
          <w:color w:val="000000"/>
          <w:spacing w:val="-2"/>
          <w:vertAlign w:val="superscript"/>
        </w:rPr>
        <w:t xml:space="preserve"> 10 </w:t>
      </w:r>
      <w:r>
        <w:rPr>
          <w:color w:val="000000"/>
          <w:spacing w:val="-2"/>
          <w:vertAlign w:val="superscript"/>
        </w:rPr>
        <w:br/>
      </w:r>
      <w:r>
        <w:rPr>
          <w:color w:val="000000"/>
        </w:rPr>
        <w:t>(</w:t>
      </w:r>
      <w:r>
        <w:rPr>
          <w:rFonts w:ascii="Times New Roman Italic" w:hAnsi="Times New Roman Italic"/>
          <w:color w:val="0000FF"/>
          <w:u w:val="single"/>
        </w:rPr>
        <w:t xml:space="preserve"> Tenzer, supra</w:t>
      </w:r>
      <w:r>
        <w:rPr>
          <w:color w:val="0000FF"/>
          <w:u w:val="single"/>
        </w:rPr>
        <w:t xml:space="preserve"> , 39 Cal.3d at p. 29</w:t>
      </w:r>
      <w:r>
        <w:rPr>
          <w:color w:val="000000"/>
        </w:rPr>
        <w:t xml:space="preserve">.) It noted the </w:t>
      </w:r>
      <w:r>
        <w:rPr>
          <w:color w:val="000000"/>
        </w:rPr>
        <w:br/>
        <w:t xml:space="preserve">principle that a rule intended to prevent fraud, </w:t>
      </w:r>
      <w:r>
        <w:rPr>
          <w:color w:val="000000"/>
        </w:rPr>
        <w:br/>
      </w:r>
      <w:r>
        <w:rPr>
          <w:color w:val="000000"/>
          <w:w w:val="102"/>
        </w:rPr>
        <w:t xml:space="preserve">in that case the statute of frauds, should not be </w:t>
      </w:r>
      <w:r>
        <w:rPr>
          <w:color w:val="000000"/>
          <w:w w:val="102"/>
        </w:rPr>
        <w:br/>
      </w:r>
      <w:r>
        <w:rPr>
          <w:color w:val="000000"/>
          <w:w w:val="101"/>
        </w:rPr>
        <w:t>applied so as to facilitate fraud. (</w:t>
      </w:r>
      <w:r>
        <w:rPr>
          <w:rFonts w:ascii="Times New Roman Italic" w:hAnsi="Times New Roman Italic"/>
          <w:color w:val="0000FF"/>
          <w:w w:val="101"/>
          <w:u w:val="single"/>
        </w:rPr>
        <w:t xml:space="preserve"> Id.</w:t>
      </w:r>
      <w:r>
        <w:rPr>
          <w:color w:val="0000FF"/>
          <w:w w:val="101"/>
          <w:u w:val="single"/>
        </w:rPr>
        <w:t xml:space="preserve">  at p. 30</w:t>
      </w:r>
      <w:r>
        <w:rPr>
          <w:color w:val="000000"/>
          <w:w w:val="101"/>
        </w:rPr>
        <w:t xml:space="preserve">.) </w:t>
      </w:r>
      <w:r>
        <w:rPr>
          <w:color w:val="000000"/>
          <w:w w:val="101"/>
        </w:rPr>
        <w:br/>
      </w:r>
      <w:r>
        <w:rPr>
          <w:color w:val="000000"/>
          <w:spacing w:val="-1"/>
        </w:rPr>
        <w:t xml:space="preserve">The court further reasoned that restricting fraud </w:t>
      </w:r>
      <w:r>
        <w:rPr>
          <w:color w:val="000000"/>
          <w:spacing w:val="-1"/>
        </w:rPr>
        <w:br/>
      </w:r>
      <w:r>
        <w:rPr>
          <w:color w:val="000000"/>
        </w:rPr>
        <w:t>claims was not necessary to prevent nullifica-</w:t>
      </w:r>
      <w:r>
        <w:rPr>
          <w:color w:val="000000"/>
        </w:rPr>
        <w:br/>
      </w:r>
      <w:r>
        <w:rPr>
          <w:color w:val="000000"/>
          <w:w w:val="105"/>
        </w:rPr>
        <w:t>tion of the statute of frauds, because promis-</w:t>
      </w:r>
      <w:r>
        <w:rPr>
          <w:color w:val="000000"/>
          <w:w w:val="105"/>
        </w:rPr>
        <w:br/>
      </w:r>
      <w:r>
        <w:rPr>
          <w:color w:val="000000"/>
          <w:spacing w:val="-4"/>
        </w:rPr>
        <w:t>sory fraud is not easily established. Proof of in-</w:t>
      </w:r>
      <w:r>
        <w:rPr>
          <w:color w:val="000000"/>
          <w:spacing w:val="-4"/>
        </w:rPr>
        <w:br/>
      </w:r>
      <w:r>
        <w:rPr>
          <w:color w:val="000000"/>
        </w:rPr>
        <w:t xml:space="preserve">tent not to perform is required. It is insufficient </w:t>
      </w:r>
      <w:r>
        <w:rPr>
          <w:color w:val="000000"/>
        </w:rPr>
        <w:br/>
      </w:r>
      <w:r>
        <w:rPr>
          <w:color w:val="000000"/>
          <w:w w:val="101"/>
        </w:rPr>
        <w:t>to show</w:t>
      </w:r>
      <w:r>
        <w:rPr>
          <w:color w:val="000000"/>
          <w:w w:val="101"/>
        </w:rPr>
        <w:t xml:space="preserve"> an unkept but honest promise, or</w:t>
      </w:r>
    </w:p>
    <w:p w:rsidR="00491B30" w:rsidRDefault="00BA5DC6">
      <w:pPr>
        <w:spacing w:line="259" w:lineRule="exact"/>
        <w:ind w:left="898" w:right="5"/>
        <w:jc w:val="both"/>
        <w:rPr>
          <w:color w:val="000000"/>
        </w:rPr>
      </w:pPr>
      <w:r>
        <w:rPr>
          <w:color w:val="000000"/>
          <w:spacing w:val="-1"/>
        </w:rPr>
        <w:t>mere subsequent failure of performance. (</w:t>
      </w:r>
      <w:r>
        <w:rPr>
          <w:rFonts w:ascii="Times New Roman Italic" w:hAnsi="Times New Roman Italic"/>
          <w:color w:val="000000"/>
          <w:spacing w:val="-1"/>
        </w:rPr>
        <w:t>Ibid.</w:t>
      </w:r>
      <w:r>
        <w:rPr>
          <w:color w:val="000000"/>
          <w:spacing w:val="-1"/>
        </w:rPr>
        <w:t xml:space="preserve">) </w:t>
      </w:r>
      <w:r>
        <w:rPr>
          <w:color w:val="000000"/>
          <w:spacing w:val="-1"/>
        </w:rPr>
        <w:br/>
        <w:t xml:space="preserve">“ ‘[S]omething more than nonperformance is </w:t>
      </w:r>
      <w:r>
        <w:rPr>
          <w:color w:val="000000"/>
          <w:spacing w:val="-1"/>
        </w:rPr>
        <w:br/>
      </w:r>
      <w:r>
        <w:rPr>
          <w:color w:val="000000"/>
        </w:rPr>
        <w:t xml:space="preserve">required to prove the defendant’s intent not to </w:t>
      </w:r>
      <w:r>
        <w:rPr>
          <w:color w:val="000000"/>
        </w:rPr>
        <w:br/>
      </w:r>
      <w:r>
        <w:rPr>
          <w:color w:val="000000"/>
          <w:w w:val="104"/>
        </w:rPr>
        <w:t xml:space="preserve">perform his promise.’ [Citations.] To be sure, </w:t>
      </w:r>
      <w:r>
        <w:rPr>
          <w:color w:val="000000"/>
          <w:w w:val="104"/>
        </w:rPr>
        <w:br/>
      </w:r>
      <w:r>
        <w:rPr>
          <w:color w:val="000000"/>
        </w:rPr>
        <w:t xml:space="preserve">fraudulent intent must often be established by </w:t>
      </w:r>
      <w:r>
        <w:rPr>
          <w:color w:val="000000"/>
        </w:rPr>
        <w:br/>
      </w:r>
      <w:r>
        <w:rPr>
          <w:color w:val="000000"/>
          <w:spacing w:val="-2"/>
        </w:rPr>
        <w:t xml:space="preserve">circumstantial  evidence. </w:t>
      </w:r>
      <w:r>
        <w:rPr>
          <w:rFonts w:ascii="Arial" w:hAnsi="Arial"/>
          <w:color w:val="000000"/>
          <w:w w:val="105"/>
        </w:rPr>
        <w:t>…</w:t>
      </w:r>
      <w:r>
        <w:rPr>
          <w:color w:val="000000"/>
          <w:w w:val="105"/>
        </w:rPr>
        <w:t xml:space="preserve"> However,  if  [a] </w:t>
      </w:r>
      <w:r>
        <w:rPr>
          <w:color w:val="000000"/>
          <w:w w:val="105"/>
        </w:rPr>
        <w:br/>
      </w:r>
      <w:r>
        <w:rPr>
          <w:color w:val="000000"/>
        </w:rPr>
        <w:t>plaintiff adduces no further evidence of</w:t>
      </w:r>
    </w:p>
    <w:p w:rsidR="00491B30" w:rsidRDefault="00BA5DC6">
      <w:pPr>
        <w:spacing w:line="259" w:lineRule="exact"/>
        <w:ind w:left="898" w:right="31"/>
        <w:jc w:val="both"/>
        <w:rPr>
          <w:color w:val="000000"/>
          <w:w w:val="101"/>
        </w:rPr>
      </w:pPr>
      <w:r>
        <w:rPr>
          <w:color w:val="000000"/>
          <w:spacing w:val="-1"/>
        </w:rPr>
        <w:t xml:space="preserve">fraudulent intent than proof of nonperformance </w:t>
      </w:r>
      <w:r>
        <w:rPr>
          <w:color w:val="000000"/>
          <w:w w:val="101"/>
        </w:rPr>
        <w:t>of an oral promise, he will never reach a</w:t>
      </w:r>
    </w:p>
    <w:p w:rsidR="00491B30" w:rsidRDefault="00BA5DC6">
      <w:pPr>
        <w:spacing w:line="276" w:lineRule="exact"/>
        <w:ind w:left="5807"/>
        <w:rPr>
          <w:color w:val="000000"/>
          <w:w w:val="101"/>
        </w:rPr>
      </w:pPr>
      <w:r>
        <w:rPr>
          <w:color w:val="000000"/>
          <w:w w:val="101"/>
        </w:rPr>
        <w:br w:type="column"/>
      </w:r>
    </w:p>
    <w:p w:rsidR="00491B30" w:rsidRDefault="00BA5DC6">
      <w:pPr>
        <w:spacing w:before="249" w:line="276" w:lineRule="exact"/>
        <w:ind w:left="20"/>
        <w:rPr>
          <w:color w:val="000000"/>
          <w:w w:val="102"/>
        </w:rPr>
      </w:pPr>
      <w:r>
        <w:rPr>
          <w:color w:val="000000"/>
          <w:w w:val="102"/>
        </w:rPr>
        <w:t>jury.” (</w:t>
      </w:r>
      <w:r>
        <w:rPr>
          <w:rFonts w:ascii="Times New Roman Italic" w:hAnsi="Times New Roman Italic"/>
          <w:color w:val="0000FF"/>
          <w:w w:val="102"/>
          <w:u w:val="single"/>
        </w:rPr>
        <w:t xml:space="preserve"> Id.</w:t>
      </w:r>
      <w:r>
        <w:rPr>
          <w:color w:val="0000FF"/>
          <w:w w:val="102"/>
          <w:u w:val="single"/>
        </w:rPr>
        <w:t xml:space="preserve">  at pp. 30-31</w:t>
      </w:r>
      <w:r>
        <w:rPr>
          <w:color w:val="000000"/>
          <w:w w:val="102"/>
        </w:rPr>
        <w:t>.)</w:t>
      </w:r>
    </w:p>
    <w:p w:rsidR="00491B30" w:rsidRDefault="00BA5DC6">
      <w:pPr>
        <w:spacing w:before="198" w:line="259" w:lineRule="exact"/>
        <w:ind w:left="20" w:right="650"/>
        <w:jc w:val="both"/>
        <w:rPr>
          <w:color w:val="000000"/>
          <w:spacing w:val="-1"/>
        </w:rPr>
      </w:pPr>
      <w:r>
        <w:rPr>
          <w:rFonts w:ascii="Times New Roman Bold Italic" w:hAnsi="Times New Roman Bold Italic"/>
          <w:color w:val="000000"/>
        </w:rPr>
        <w:t>CA(8)</w:t>
      </w:r>
      <w:r>
        <w:rPr>
          <w:color w:val="000000"/>
        </w:rPr>
        <w:t xml:space="preserve"> (8) Here, as in</w:t>
      </w:r>
      <w:r>
        <w:rPr>
          <w:rFonts w:ascii="Times New Roman Italic" w:hAnsi="Times New Roman Italic"/>
          <w:color w:val="0000FF"/>
        </w:rPr>
        <w:t xml:space="preserve"> </w:t>
      </w:r>
      <w:r>
        <w:rPr>
          <w:rFonts w:ascii="Times New Roman Italic" w:hAnsi="Times New Roman Italic"/>
          <w:color w:val="0000FF"/>
          <w:u w:val="single"/>
        </w:rPr>
        <w:t xml:space="preserve"> Tenzer</w:t>
      </w:r>
      <w:r>
        <w:rPr>
          <w:color w:val="000000"/>
        </w:rPr>
        <w:t xml:space="preserve">, we stress that the </w:t>
      </w:r>
      <w:r>
        <w:rPr>
          <w:color w:val="000000"/>
          <w:spacing w:val="-1"/>
        </w:rPr>
        <w:t>intent element of promissory fraud entails</w:t>
      </w:r>
    </w:p>
    <w:p w:rsidR="00491B30" w:rsidRDefault="00BA5DC6">
      <w:pPr>
        <w:spacing w:line="259" w:lineRule="exact"/>
        <w:ind w:left="20" w:right="722"/>
        <w:jc w:val="both"/>
        <w:rPr>
          <w:color w:val="000000"/>
          <w:spacing w:val="-1"/>
        </w:rPr>
      </w:pPr>
      <w:r>
        <w:rPr>
          <w:color w:val="000000"/>
          <w:w w:val="101"/>
        </w:rPr>
        <w:t xml:space="preserve">more than proof of an unkept promise or mere </w:t>
      </w:r>
      <w:r>
        <w:rPr>
          <w:color w:val="000000"/>
          <w:spacing w:val="-1"/>
        </w:rPr>
        <w:t>failure of performance. We note also that</w:t>
      </w:r>
    </w:p>
    <w:p w:rsidR="00491B30" w:rsidRDefault="00BA5DC6">
      <w:pPr>
        <w:spacing w:line="259" w:lineRule="exact"/>
        <w:ind w:left="20" w:right="639"/>
        <w:jc w:val="both"/>
        <w:rPr>
          <w:color w:val="000000"/>
        </w:rPr>
      </w:pPr>
      <w:r>
        <w:rPr>
          <w:rFonts w:ascii="Times New Roman Bold Italic" w:hAnsi="Times New Roman Bold Italic"/>
          <w:color w:val="000000"/>
          <w:spacing w:val="-1"/>
        </w:rPr>
        <w:t>HN12</w:t>
      </w:r>
      <w:r>
        <w:rPr>
          <w:color w:val="000000"/>
          <w:spacing w:val="-1"/>
        </w:rPr>
        <w:t xml:space="preserve"> promissory fraud, like all forms of fraud, </w:t>
      </w:r>
      <w:r>
        <w:rPr>
          <w:color w:val="000000"/>
        </w:rPr>
        <w:t xml:space="preserve">requires a showing of </w:t>
      </w:r>
      <w:r>
        <w:rPr>
          <w:color w:val="000000"/>
        </w:rPr>
        <w:t>justifiable reliance on</w:t>
      </w:r>
    </w:p>
    <w:p w:rsidR="00491B30" w:rsidRDefault="00BA5DC6">
      <w:pPr>
        <w:spacing w:line="259" w:lineRule="exact"/>
        <w:ind w:left="20" w:right="639"/>
        <w:jc w:val="both"/>
        <w:rPr>
          <w:color w:val="000000"/>
        </w:rPr>
      </w:pPr>
      <w:r>
        <w:rPr>
          <w:color w:val="000000"/>
          <w:spacing w:val="-1"/>
        </w:rPr>
        <w:t>the defendant’s misrepresentation. (</w:t>
      </w:r>
      <w:r>
        <w:rPr>
          <w:rFonts w:ascii="Times New Roman Italic" w:hAnsi="Times New Roman Italic"/>
          <w:color w:val="0000FF"/>
          <w:spacing w:val="-1"/>
          <w:u w:val="single"/>
        </w:rPr>
        <w:t xml:space="preserve"> Lazar v. Su-</w:t>
      </w:r>
      <w:r>
        <w:rPr>
          <w:rFonts w:ascii="Times New Roman Italic" w:hAnsi="Times New Roman Italic"/>
          <w:color w:val="0000FF"/>
          <w:spacing w:val="-1"/>
          <w:u w:val="single"/>
        </w:rPr>
        <w:br/>
      </w:r>
      <w:r>
        <w:rPr>
          <w:rFonts w:ascii="Times New Roman Italic" w:hAnsi="Times New Roman Italic"/>
          <w:color w:val="0000FF"/>
          <w:u w:val="single"/>
        </w:rPr>
        <w:t>perior Court, supra</w:t>
      </w:r>
      <w:r>
        <w:rPr>
          <w:color w:val="0000FF"/>
          <w:u w:val="single"/>
        </w:rPr>
        <w:t xml:space="preserve"> , 12 Cal.4th at p. 638</w:t>
      </w:r>
      <w:r>
        <w:rPr>
          <w:color w:val="000000"/>
        </w:rPr>
        <w:t>.)</w:t>
      </w:r>
    </w:p>
    <w:p w:rsidR="00491B30" w:rsidRDefault="00BA5DC6">
      <w:pPr>
        <w:spacing w:before="1" w:line="259" w:lineRule="exact"/>
        <w:ind w:left="20" w:right="651"/>
        <w:jc w:val="both"/>
        <w:rPr>
          <w:color w:val="000000"/>
        </w:rPr>
      </w:pPr>
      <w:r>
        <w:rPr>
          <w:color w:val="000000"/>
          <w:spacing w:val="-2"/>
        </w:rPr>
        <w:t xml:space="preserve">The Credit Association contends the Workmans </w:t>
      </w:r>
      <w:r>
        <w:rPr>
          <w:color w:val="000000"/>
        </w:rPr>
        <w:t xml:space="preserve">failed to present evidence sufficient to raise a </w:t>
      </w:r>
      <w:r>
        <w:rPr>
          <w:color w:val="000000"/>
          <w:w w:val="103"/>
        </w:rPr>
        <w:t>triable issue on the element of reliance, g</w:t>
      </w:r>
      <w:r>
        <w:rPr>
          <w:color w:val="000000"/>
          <w:w w:val="103"/>
        </w:rPr>
        <w:t xml:space="preserve">iven </w:t>
      </w:r>
      <w:r>
        <w:rPr>
          <w:color w:val="000000"/>
        </w:rPr>
        <w:t>their admitted failure to read the contract.</w:t>
      </w:r>
    </w:p>
    <w:p w:rsidR="00491B30" w:rsidRDefault="00BA5DC6">
      <w:pPr>
        <w:spacing w:before="1" w:line="259" w:lineRule="exact"/>
        <w:ind w:left="20" w:right="698"/>
        <w:jc w:val="both"/>
        <w:rPr>
          <w:color w:val="000000"/>
          <w:w w:val="101"/>
        </w:rPr>
      </w:pPr>
      <w:r>
        <w:rPr>
          <w:color w:val="000000"/>
        </w:rPr>
        <w:t xml:space="preserve">However, we decline to decide this question in </w:t>
      </w:r>
      <w:r>
        <w:rPr>
          <w:color w:val="000000"/>
          <w:w w:val="101"/>
        </w:rPr>
        <w:t>the first instance. The trial court did not</w:t>
      </w:r>
    </w:p>
    <w:p w:rsidR="00491B30" w:rsidRDefault="00BA5DC6">
      <w:pPr>
        <w:spacing w:line="259" w:lineRule="exact"/>
        <w:ind w:left="20" w:right="639"/>
        <w:jc w:val="both"/>
        <w:rPr>
          <w:rFonts w:ascii="Times New Roman Bold" w:hAnsi="Times New Roman Bold"/>
          <w:color w:val="000000"/>
        </w:rPr>
      </w:pPr>
      <w:r>
        <w:rPr>
          <w:color w:val="000000"/>
          <w:spacing w:val="-2"/>
        </w:rPr>
        <w:t>reach the issue of reliance in the summary judg-</w:t>
      </w:r>
      <w:r>
        <w:rPr>
          <w:color w:val="000000"/>
          <w:spacing w:val="-2"/>
        </w:rPr>
        <w:br/>
      </w:r>
      <w:r>
        <w:rPr>
          <w:color w:val="000000"/>
        </w:rPr>
        <w:t>ment proceedings below, nor did the Court of Appeal address it.</w:t>
      </w:r>
      <w:r>
        <w:rPr>
          <w:color w:val="000000"/>
          <w:vertAlign w:val="superscript"/>
        </w:rPr>
        <w:t xml:space="preserve"> 11</w:t>
      </w:r>
      <w:r>
        <w:rPr>
          <w:rFonts w:ascii="Times New Roman Bold" w:hAnsi="Times New Roman Bold"/>
          <w:color w:val="000000"/>
        </w:rPr>
        <w:t xml:space="preserve"> [*1184]</w:t>
      </w:r>
    </w:p>
    <w:p w:rsidR="00491B30" w:rsidRDefault="00BA5DC6">
      <w:pPr>
        <w:spacing w:before="246" w:line="276" w:lineRule="exact"/>
        <w:ind w:left="20"/>
        <w:rPr>
          <w:color w:val="000000"/>
          <w:spacing w:val="-2"/>
        </w:rPr>
      </w:pPr>
      <w:r>
        <w:rPr>
          <w:color w:val="000000"/>
          <w:spacing w:val="-2"/>
        </w:rPr>
        <w:t>III. DISPOSITION</w:t>
      </w:r>
    </w:p>
    <w:p w:rsidR="00491B30" w:rsidRDefault="00491B30">
      <w:pPr>
        <w:spacing w:line="276" w:lineRule="exact"/>
        <w:ind w:left="5807"/>
        <w:rPr>
          <w:color w:val="000000"/>
          <w:spacing w:val="-2"/>
        </w:rPr>
      </w:pPr>
    </w:p>
    <w:p w:rsidR="00491B30" w:rsidRDefault="00BA5DC6">
      <w:pPr>
        <w:spacing w:before="7" w:line="276" w:lineRule="exact"/>
        <w:ind w:left="20"/>
        <w:rPr>
          <w:color w:val="000000"/>
          <w:spacing w:val="-1"/>
        </w:rPr>
      </w:pPr>
      <w:r>
        <w:rPr>
          <w:color w:val="000000"/>
          <w:spacing w:val="-1"/>
        </w:rPr>
        <w:t>We affirm the Court of Appeal’s judgment.</w:t>
      </w:r>
    </w:p>
    <w:p w:rsidR="00491B30" w:rsidRDefault="00BA5DC6">
      <w:pPr>
        <w:spacing w:before="198" w:line="259" w:lineRule="exact"/>
        <w:ind w:left="20" w:right="639"/>
        <w:jc w:val="both"/>
        <w:rPr>
          <w:color w:val="000000"/>
          <w:spacing w:val="-3"/>
        </w:rPr>
      </w:pPr>
      <w:r>
        <w:rPr>
          <w:color w:val="000000"/>
          <w:spacing w:val="-2"/>
        </w:rPr>
        <w:t xml:space="preserve">Cantil-Sakauye, C. J., Kennard, J.,  </w:t>
      </w:r>
      <w:r>
        <w:rPr>
          <w:rFonts w:ascii="Times New Roman Bold" w:hAnsi="Times New Roman Bold"/>
          <w:color w:val="000000"/>
          <w:spacing w:val="-2"/>
        </w:rPr>
        <w:t>[**32]</w:t>
      </w:r>
      <w:r>
        <w:rPr>
          <w:color w:val="000000"/>
          <w:spacing w:val="-2"/>
        </w:rPr>
        <w:t xml:space="preserve"> Bax-</w:t>
      </w:r>
      <w:r>
        <w:rPr>
          <w:color w:val="000000"/>
          <w:spacing w:val="-2"/>
        </w:rPr>
        <w:br/>
      </w:r>
      <w:r>
        <w:rPr>
          <w:color w:val="000000"/>
        </w:rPr>
        <w:t>ter, J., Werdegar, J., Chin, J., and Liu, J., con-</w:t>
      </w:r>
      <w:r>
        <w:rPr>
          <w:color w:val="000000"/>
        </w:rPr>
        <w:br/>
      </w:r>
      <w:r>
        <w:rPr>
          <w:color w:val="000000"/>
          <w:spacing w:val="-3"/>
        </w:rPr>
        <w:t xml:space="preserve">curred. </w:t>
      </w:r>
    </w:p>
    <w:p w:rsidR="00491B30" w:rsidRDefault="00491B30">
      <w:pPr>
        <w:rPr>
          <w:color w:val="000000"/>
          <w:spacing w:val="-3"/>
        </w:rPr>
        <w:sectPr w:rsidR="00491B30">
          <w:type w:val="continuous"/>
          <w:pgSz w:w="12220" w:h="15820"/>
          <w:pgMar w:top="431" w:right="431" w:bottom="431" w:left="431" w:header="720" w:footer="720" w:gutter="0"/>
          <w:cols w:num="2" w:space="720" w:equalWidth="0">
            <w:col w:w="5647" w:space="160"/>
            <w:col w:w="5409" w:space="160"/>
          </w:cols>
        </w:sectPr>
      </w:pPr>
    </w:p>
    <w:p w:rsidR="00491B30" w:rsidRDefault="00491B30">
      <w:pPr>
        <w:spacing w:line="220" w:lineRule="exact"/>
        <w:ind w:left="898"/>
        <w:jc w:val="both"/>
        <w:rPr>
          <w:color w:val="000000"/>
          <w:spacing w:val="-3"/>
        </w:rPr>
      </w:pPr>
    </w:p>
    <w:p w:rsidR="00491B30" w:rsidRDefault="00BA5DC6">
      <w:pPr>
        <w:tabs>
          <w:tab w:val="left" w:pos="1217"/>
        </w:tabs>
        <w:spacing w:before="155" w:line="220" w:lineRule="exact"/>
        <w:ind w:left="898" w:right="742"/>
        <w:jc w:val="both"/>
        <w:rPr>
          <w:color w:val="000000"/>
          <w:sz w:val="18"/>
        </w:rPr>
      </w:pPr>
      <w:r>
        <w:rPr>
          <w:color w:val="000000"/>
          <w:w w:val="103"/>
          <w:position w:val="2"/>
          <w:sz w:val="12"/>
        </w:rPr>
        <w:t xml:space="preserve">10 </w:t>
      </w:r>
      <w:r>
        <w:rPr>
          <w:color w:val="000000"/>
          <w:w w:val="103"/>
          <w:position w:val="2"/>
          <w:sz w:val="12"/>
        </w:rPr>
        <w:tab/>
      </w:r>
      <w:r>
        <w:rPr>
          <w:rFonts w:ascii="Times New Roman Italic" w:hAnsi="Times New Roman Italic"/>
          <w:color w:val="000000"/>
          <w:position w:val="-3"/>
          <w:sz w:val="18"/>
        </w:rPr>
        <w:t>Tenzer</w:t>
      </w:r>
      <w:r>
        <w:rPr>
          <w:color w:val="000000"/>
          <w:position w:val="-3"/>
          <w:sz w:val="18"/>
        </w:rPr>
        <w:t xml:space="preserve"> observed: “ ‘</w:t>
      </w:r>
      <w:r>
        <w:rPr>
          <w:color w:val="0000FF"/>
          <w:position w:val="-3"/>
          <w:sz w:val="18"/>
          <w:u w:val="single"/>
        </w:rPr>
        <w:t xml:space="preserve"> Comment (c) to section 530 of the Restatement Second of the Law of Torts</w:t>
      </w:r>
      <w:r>
        <w:rPr>
          <w:color w:val="000000"/>
          <w:position w:val="-3"/>
          <w:sz w:val="18"/>
        </w:rPr>
        <w:t xml:space="preserve"> states that a misrepresenta-</w:t>
      </w:r>
      <w:r>
        <w:rPr>
          <w:color w:val="000000"/>
          <w:position w:val="-3"/>
          <w:sz w:val="18"/>
        </w:rPr>
        <w:br/>
      </w:r>
      <w:r>
        <w:rPr>
          <w:color w:val="000000"/>
          <w:sz w:val="18"/>
        </w:rPr>
        <w:t xml:space="preserve">tion of one’s intention is actionable even “when the agreement is oral and made unenforceable by the statute of frauds, or when it </w:t>
      </w:r>
      <w:r>
        <w:rPr>
          <w:color w:val="000000"/>
          <w:sz w:val="18"/>
        </w:rPr>
        <w:br/>
        <w:t xml:space="preserve">is unprovable and so </w:t>
      </w:r>
      <w:r>
        <w:rPr>
          <w:color w:val="000000"/>
          <w:sz w:val="18"/>
        </w:rPr>
        <w:t xml:space="preserve">unenforceable </w:t>
      </w:r>
      <w:r>
        <w:rPr>
          <w:rFonts w:ascii="Times New Roman Bold" w:hAnsi="Times New Roman Bold"/>
          <w:color w:val="000000"/>
          <w:sz w:val="18"/>
        </w:rPr>
        <w:t>[**30]</w:t>
      </w:r>
      <w:r>
        <w:rPr>
          <w:color w:val="000000"/>
          <w:sz w:val="18"/>
        </w:rPr>
        <w:t xml:space="preserve"> under the parol evidence rule.” ’ ” (</w:t>
      </w:r>
      <w:r>
        <w:rPr>
          <w:rFonts w:ascii="Times New Roman Italic" w:hAnsi="Times New Roman Italic"/>
          <w:color w:val="0000FF"/>
          <w:sz w:val="18"/>
          <w:u w:val="single"/>
        </w:rPr>
        <w:t xml:space="preserve"> Tenzer, supra</w:t>
      </w:r>
      <w:r>
        <w:rPr>
          <w:color w:val="0000FF"/>
          <w:sz w:val="18"/>
          <w:u w:val="single"/>
        </w:rPr>
        <w:t xml:space="preserve"> , 39 Cal.3d at p. 29</w:t>
      </w:r>
      <w:r>
        <w:rPr>
          <w:color w:val="000000"/>
          <w:sz w:val="18"/>
        </w:rPr>
        <w:t>.) Witkin, not-</w:t>
      </w:r>
    </w:p>
    <w:p w:rsidR="00491B30" w:rsidRDefault="00BA5DC6">
      <w:pPr>
        <w:spacing w:line="200" w:lineRule="exact"/>
        <w:ind w:left="898" w:right="867"/>
        <w:jc w:val="both"/>
        <w:rPr>
          <w:color w:val="000000"/>
          <w:sz w:val="18"/>
        </w:rPr>
      </w:pPr>
      <w:r>
        <w:rPr>
          <w:color w:val="000000"/>
          <w:sz w:val="18"/>
        </w:rPr>
        <w:t>ing this reference to the parol evidence rule, questioned whether the</w:t>
      </w:r>
      <w:r>
        <w:rPr>
          <w:rFonts w:ascii="Times New Roman Italic" w:hAnsi="Times New Roman Italic"/>
          <w:color w:val="000000"/>
          <w:sz w:val="18"/>
        </w:rPr>
        <w:t xml:space="preserve"> Pendergrass</w:t>
      </w:r>
      <w:r>
        <w:rPr>
          <w:color w:val="000000"/>
          <w:sz w:val="18"/>
        </w:rPr>
        <w:t xml:space="preserve"> limitation would survive. (2 Witkin, Cal. Evidence,</w:t>
      </w:r>
      <w:r>
        <w:rPr>
          <w:rFonts w:ascii="Times New Roman Italic" w:hAnsi="Times New Roman Italic"/>
          <w:color w:val="000000"/>
          <w:sz w:val="18"/>
        </w:rPr>
        <w:t xml:space="preserve"> supra</w:t>
      </w:r>
      <w:r>
        <w:rPr>
          <w:color w:val="000000"/>
          <w:sz w:val="18"/>
        </w:rPr>
        <w:t xml:space="preserve">, </w:t>
      </w:r>
      <w:r>
        <w:rPr>
          <w:color w:val="000000"/>
          <w:sz w:val="18"/>
        </w:rPr>
        <w:t>Documentary Evidence § 100, pp. 245-246.)</w:t>
      </w:r>
    </w:p>
    <w:p w:rsidR="00491B30" w:rsidRDefault="00491B30">
      <w:pPr>
        <w:rPr>
          <w:color w:val="000000"/>
          <w:sz w:val="18"/>
        </w:rPr>
        <w:sectPr w:rsidR="00491B30">
          <w:type w:val="continuous"/>
          <w:pgSz w:w="12220" w:h="15820"/>
          <w:pgMar w:top="431" w:right="431" w:bottom="431" w:left="431" w:header="720" w:footer="720" w:gutter="0"/>
          <w:cols w:space="720"/>
        </w:sectPr>
      </w:pPr>
    </w:p>
    <w:p w:rsidR="00491B30" w:rsidRDefault="00BA5DC6">
      <w:pPr>
        <w:spacing w:before="97" w:line="138" w:lineRule="exact"/>
        <w:ind w:left="898"/>
        <w:rPr>
          <w:color w:val="000000"/>
          <w:sz w:val="12"/>
        </w:rPr>
      </w:pPr>
      <w:r>
        <w:rPr>
          <w:color w:val="000000"/>
          <w:sz w:val="12"/>
        </w:rPr>
        <w:lastRenderedPageBreak/>
        <w:t>11</w:t>
      </w:r>
    </w:p>
    <w:p w:rsidR="00491B30" w:rsidRDefault="00BA5DC6">
      <w:pPr>
        <w:spacing w:line="144" w:lineRule="exact"/>
        <w:ind w:left="898"/>
        <w:rPr>
          <w:color w:val="000000"/>
          <w:sz w:val="12"/>
        </w:rPr>
      </w:pPr>
      <w:r>
        <w:rPr>
          <w:color w:val="000000"/>
          <w:sz w:val="12"/>
        </w:rPr>
        <w:br w:type="column"/>
      </w:r>
    </w:p>
    <w:p w:rsidR="00491B30" w:rsidRDefault="00BA5DC6">
      <w:pPr>
        <w:spacing w:before="23" w:line="144" w:lineRule="exact"/>
        <w:ind w:left="20"/>
        <w:rPr>
          <w:rFonts w:ascii="Times New Roman Italic" w:hAnsi="Times New Roman Italic"/>
          <w:color w:val="000000"/>
          <w:sz w:val="18"/>
        </w:rPr>
      </w:pPr>
      <w:r>
        <w:rPr>
          <w:color w:val="000000"/>
          <w:sz w:val="18"/>
        </w:rPr>
        <w:t>In</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Rosenthal v. Great Western Fin. Securities Corp.</w:t>
      </w:r>
      <w:r>
        <w:rPr>
          <w:color w:val="0000FF"/>
          <w:sz w:val="18"/>
          <w:u w:val="single"/>
        </w:rPr>
        <w:t xml:space="preserve">  (1996) 14 Cal.4th 394, 419 [58 Cal. Rptr. 2d 875, 926 P.2d 1061]</w:t>
      </w:r>
      <w:r>
        <w:rPr>
          <w:color w:val="000000"/>
          <w:sz w:val="18"/>
        </w:rPr>
        <w:t xml:space="preserve"> (</w:t>
      </w:r>
      <w:r>
        <w:rPr>
          <w:rFonts w:ascii="Times New Roman Italic" w:hAnsi="Times New Roman Italic"/>
          <w:color w:val="000000"/>
          <w:sz w:val="18"/>
        </w:rPr>
        <w:t>Rosen-</w:t>
      </w:r>
    </w:p>
    <w:p w:rsidR="00491B30" w:rsidRDefault="00491B30">
      <w:pPr>
        <w:rPr>
          <w:rFonts w:ascii="Times New Roman Italic" w:hAnsi="Times New Roman Italic"/>
          <w:color w:val="000000"/>
          <w:sz w:val="18"/>
        </w:rPr>
        <w:sectPr w:rsidR="00491B30">
          <w:type w:val="continuous"/>
          <w:pgSz w:w="12220" w:h="15820"/>
          <w:pgMar w:top="431" w:right="431" w:bottom="431" w:left="431" w:header="720" w:footer="720" w:gutter="0"/>
          <w:cols w:num="2" w:space="720" w:equalWidth="0">
            <w:col w:w="1102" w:space="110"/>
            <w:col w:w="10004" w:space="160"/>
          </w:cols>
        </w:sectPr>
      </w:pPr>
    </w:p>
    <w:p w:rsidR="00491B30" w:rsidRDefault="00BA5DC6">
      <w:pPr>
        <w:tabs>
          <w:tab w:val="left" w:pos="9072"/>
        </w:tabs>
        <w:spacing w:before="19" w:line="186" w:lineRule="exact"/>
        <w:ind w:left="898"/>
        <w:rPr>
          <w:color w:val="000000"/>
          <w:spacing w:val="-1"/>
          <w:sz w:val="18"/>
        </w:rPr>
      </w:pPr>
      <w:r>
        <w:rPr>
          <w:rFonts w:ascii="Times New Roman Italic" w:hAnsi="Times New Roman Italic"/>
          <w:color w:val="000000"/>
          <w:sz w:val="18"/>
        </w:rPr>
        <w:lastRenderedPageBreak/>
        <w:t>thal</w:t>
      </w:r>
      <w:r>
        <w:rPr>
          <w:color w:val="000000"/>
          <w:sz w:val="18"/>
        </w:rPr>
        <w:t xml:space="preserve">), we considered whether parties could justifiably rely on misrepresentations when they did not read their </w:t>
      </w:r>
      <w:r>
        <w:rPr>
          <w:color w:val="000000"/>
          <w:sz w:val="18"/>
        </w:rPr>
        <w:tab/>
      </w:r>
      <w:r>
        <w:rPr>
          <w:rFonts w:ascii="Times New Roman Bold" w:hAnsi="Times New Roman Bold"/>
          <w:color w:val="000000"/>
          <w:spacing w:val="-1"/>
          <w:sz w:val="18"/>
        </w:rPr>
        <w:t>[**31]</w:t>
      </w:r>
      <w:r>
        <w:rPr>
          <w:color w:val="000000"/>
          <w:spacing w:val="-1"/>
          <w:sz w:val="18"/>
        </w:rPr>
        <w:t xml:space="preserve"> contracts. </w:t>
      </w:r>
    </w:p>
    <w:p w:rsidR="00491B30" w:rsidRDefault="00BA5DC6">
      <w:pPr>
        <w:spacing w:before="3" w:line="200" w:lineRule="exact"/>
        <w:ind w:left="898" w:right="734"/>
        <w:jc w:val="both"/>
        <w:rPr>
          <w:color w:val="000000"/>
          <w:spacing w:val="-1"/>
          <w:sz w:val="18"/>
        </w:rPr>
      </w:pPr>
      <w:r>
        <w:rPr>
          <w:color w:val="000000"/>
          <w:sz w:val="18"/>
        </w:rPr>
        <w:t xml:space="preserve">We held that negligent failure to acquaint oneself with the contents of a written agreement precludes a finding that the contract is </w:t>
      </w:r>
      <w:r>
        <w:rPr>
          <w:color w:val="000000"/>
          <w:w w:val="102"/>
          <w:sz w:val="18"/>
        </w:rPr>
        <w:t>void for fraud in the execution. (</w:t>
      </w:r>
      <w:r>
        <w:rPr>
          <w:rFonts w:ascii="Times New Roman Italic" w:hAnsi="Times New Roman Italic"/>
          <w:color w:val="0000FF"/>
          <w:w w:val="102"/>
          <w:sz w:val="18"/>
          <w:u w:val="single"/>
        </w:rPr>
        <w:t xml:space="preserve"> Id.</w:t>
      </w:r>
      <w:r>
        <w:rPr>
          <w:color w:val="0000FF"/>
          <w:w w:val="102"/>
          <w:sz w:val="18"/>
          <w:u w:val="single"/>
        </w:rPr>
        <w:t xml:space="preserve">  at p. 423</w:t>
      </w:r>
      <w:r>
        <w:rPr>
          <w:color w:val="000000"/>
          <w:w w:val="102"/>
          <w:sz w:val="18"/>
        </w:rPr>
        <w:t xml:space="preserve">.) In that context, “[o]ne party’s misrepresentations as to the nature or </w:t>
      </w:r>
      <w:r>
        <w:rPr>
          <w:color w:val="000000"/>
          <w:w w:val="102"/>
          <w:sz w:val="18"/>
        </w:rPr>
        <w:t xml:space="preserve">character of </w:t>
      </w:r>
      <w:r>
        <w:rPr>
          <w:color w:val="000000"/>
          <w:spacing w:val="-1"/>
          <w:sz w:val="18"/>
        </w:rPr>
        <w:t>the writing do not negate the other party’s apparent manifestation of assent, if the second party had ‘reasonable opportunity to know of the character or essential terms of the proposed contract.’ [Citation.]” (</w:t>
      </w:r>
      <w:r>
        <w:rPr>
          <w:rFonts w:ascii="Times New Roman Italic" w:hAnsi="Times New Roman Italic"/>
          <w:color w:val="000000"/>
          <w:spacing w:val="-1"/>
          <w:sz w:val="18"/>
        </w:rPr>
        <w:t>Ibid.</w:t>
      </w:r>
      <w:r>
        <w:rPr>
          <w:color w:val="000000"/>
          <w:spacing w:val="-1"/>
          <w:sz w:val="18"/>
        </w:rPr>
        <w:t xml:space="preserve">) </w:t>
      </w:r>
    </w:p>
    <w:p w:rsidR="00491B30" w:rsidRDefault="00BA5DC6">
      <w:pPr>
        <w:spacing w:before="124" w:line="196" w:lineRule="exact"/>
        <w:ind w:left="898" w:right="734"/>
        <w:rPr>
          <w:color w:val="000000"/>
          <w:spacing w:val="-1"/>
          <w:sz w:val="18"/>
        </w:rPr>
      </w:pPr>
      <w:r>
        <w:rPr>
          <w:color w:val="000000"/>
          <w:sz w:val="18"/>
        </w:rPr>
        <w:t>We expressed no view in</w:t>
      </w:r>
      <w:r>
        <w:rPr>
          <w:rFonts w:ascii="Times New Roman Italic" w:hAnsi="Times New Roman Italic"/>
          <w:color w:val="000000"/>
          <w:sz w:val="18"/>
        </w:rPr>
        <w:t xml:space="preserve"> </w:t>
      </w:r>
      <w:r>
        <w:rPr>
          <w:rFonts w:ascii="Times New Roman Italic" w:hAnsi="Times New Roman Italic"/>
          <w:color w:val="000000"/>
          <w:sz w:val="18"/>
        </w:rPr>
        <w:t>Rosenthal</w:t>
      </w:r>
      <w:r>
        <w:rPr>
          <w:color w:val="000000"/>
          <w:sz w:val="18"/>
        </w:rPr>
        <w:t xml:space="preserve"> on the “validity” and “exact parameters” of a more lenient rule that has been applied when eq-</w:t>
      </w:r>
      <w:r>
        <w:rPr>
          <w:color w:val="000000"/>
          <w:sz w:val="18"/>
        </w:rPr>
        <w:br/>
        <w:t>uitable relief is sought for fraud in the inducement of a contract. (</w:t>
      </w:r>
      <w:r>
        <w:rPr>
          <w:rFonts w:ascii="Times New Roman Italic" w:hAnsi="Times New Roman Italic"/>
          <w:color w:val="0000FF"/>
          <w:sz w:val="18"/>
          <w:u w:val="single"/>
        </w:rPr>
        <w:t xml:space="preserve"> Rosenthal, supra</w:t>
      </w:r>
      <w:r>
        <w:rPr>
          <w:color w:val="0000FF"/>
          <w:sz w:val="18"/>
          <w:u w:val="single"/>
        </w:rPr>
        <w:t xml:space="preserve"> , 14 Cal.4th at p. 423</w:t>
      </w:r>
      <w:r>
        <w:rPr>
          <w:color w:val="000000"/>
          <w:sz w:val="18"/>
        </w:rPr>
        <w:t>; see</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California Trust </w:t>
      </w:r>
      <w:r>
        <w:rPr>
          <w:rFonts w:ascii="Times New Roman Italic" w:hAnsi="Times New Roman Italic"/>
          <w:color w:val="0000FF"/>
          <w:sz w:val="18"/>
          <w:u w:val="single"/>
        </w:rPr>
        <w:br/>
        <w:t>Co. v. Cohn</w:t>
      </w:r>
      <w:r>
        <w:rPr>
          <w:color w:val="0000FF"/>
          <w:sz w:val="18"/>
          <w:u w:val="single"/>
        </w:rPr>
        <w:t xml:space="preserve">  (1932) 214 Cal. 619, 627 [7 P.2d 297]</w:t>
      </w:r>
      <w:r>
        <w:rPr>
          <w:color w:val="000000"/>
          <w:sz w:val="18"/>
        </w:rPr>
        <w:t>;</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Fleury v. Ramacciotti, supra</w:t>
      </w:r>
      <w:r>
        <w:rPr>
          <w:color w:val="0000FF"/>
          <w:sz w:val="18"/>
          <w:u w:val="single"/>
        </w:rPr>
        <w:t xml:space="preserve"> , 8 Cal.2d at p. 662</w:t>
      </w:r>
      <w:r>
        <w:rPr>
          <w:color w:val="000000"/>
          <w:sz w:val="18"/>
        </w:rPr>
        <w:t>;</w:t>
      </w:r>
      <w:r>
        <w:rPr>
          <w:rFonts w:ascii="Times New Roman Italic" w:hAnsi="Times New Roman Italic"/>
          <w:color w:val="0000FF"/>
          <w:sz w:val="18"/>
        </w:rPr>
        <w:t xml:space="preserve"> </w:t>
      </w:r>
      <w:r>
        <w:rPr>
          <w:rFonts w:ascii="Times New Roman Italic" w:hAnsi="Times New Roman Italic"/>
          <w:color w:val="0000FF"/>
          <w:sz w:val="18"/>
          <w:u w:val="single"/>
        </w:rPr>
        <w:t xml:space="preserve"> Lynch v. Cruttenden &amp; Co. </w:t>
      </w:r>
      <w:r>
        <w:rPr>
          <w:rFonts w:ascii="Times New Roman Italic" w:hAnsi="Times New Roman Italic"/>
          <w:color w:val="0000FF"/>
          <w:sz w:val="18"/>
          <w:u w:val="single"/>
        </w:rPr>
        <w:br/>
      </w:r>
      <w:r>
        <w:rPr>
          <w:color w:val="0000FF"/>
          <w:w w:val="102"/>
          <w:sz w:val="18"/>
          <w:u w:val="single"/>
        </w:rPr>
        <w:t xml:space="preserve"> (1993) 18 Cal.App.4th 802, 807 [22 Cal. Rptr. 2d 636]</w:t>
      </w:r>
      <w:r>
        <w:rPr>
          <w:color w:val="000000"/>
          <w:w w:val="102"/>
          <w:sz w:val="18"/>
        </w:rPr>
        <w:t>; 1 Witkin, Summary of Cal. Law,</w:t>
      </w:r>
      <w:r>
        <w:rPr>
          <w:rFonts w:ascii="Times New Roman Italic" w:hAnsi="Times New Roman Italic"/>
          <w:color w:val="000000"/>
          <w:w w:val="102"/>
          <w:sz w:val="18"/>
        </w:rPr>
        <w:t xml:space="preserve"> supra</w:t>
      </w:r>
      <w:r>
        <w:rPr>
          <w:color w:val="000000"/>
          <w:w w:val="102"/>
          <w:sz w:val="18"/>
        </w:rPr>
        <w:t>, Contracts, § 301, pp. 327-</w:t>
      </w:r>
      <w:r>
        <w:rPr>
          <w:color w:val="000000"/>
          <w:w w:val="102"/>
          <w:sz w:val="18"/>
        </w:rPr>
        <w:br/>
        <w:t xml:space="preserve">328.) Here as </w:t>
      </w:r>
      <w:r>
        <w:rPr>
          <w:color w:val="000000"/>
          <w:w w:val="102"/>
          <w:sz w:val="18"/>
        </w:rPr>
        <w:t xml:space="preserve">well we need not explore the degree to which failure to read the contract affects the viability of a claim of fraud in </w:t>
      </w:r>
      <w:r>
        <w:rPr>
          <w:color w:val="000000"/>
          <w:w w:val="102"/>
          <w:sz w:val="18"/>
        </w:rPr>
        <w:br/>
      </w:r>
      <w:r>
        <w:rPr>
          <w:color w:val="000000"/>
          <w:spacing w:val="-1"/>
          <w:sz w:val="18"/>
        </w:rPr>
        <w:t xml:space="preserve">the inducement. </w:t>
      </w: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491B30">
      <w:pPr>
        <w:spacing w:line="230" w:lineRule="exact"/>
        <w:ind w:left="5183"/>
        <w:rPr>
          <w:color w:val="000000"/>
          <w:spacing w:val="-1"/>
          <w:sz w:val="18"/>
        </w:rPr>
      </w:pPr>
    </w:p>
    <w:p w:rsidR="00491B30" w:rsidRDefault="00BA5DC6">
      <w:pPr>
        <w:spacing w:before="36" w:line="230" w:lineRule="exact"/>
        <w:ind w:left="5183"/>
        <w:rPr>
          <w:color w:val="000000"/>
          <w:spacing w:val="-1"/>
          <w:sz w:val="20"/>
        </w:rPr>
      </w:pPr>
      <w:r>
        <w:rPr>
          <w:color w:val="000000"/>
          <w:spacing w:val="-1"/>
          <w:sz w:val="20"/>
        </w:rPr>
        <w:t xml:space="preserve">Charles Cox </w:t>
      </w:r>
      <w:r>
        <w:rPr>
          <w:color w:val="000000"/>
          <w:spacing w:val="-1"/>
          <w:sz w:val="20"/>
        </w:rPr>
        <w:pict>
          <v:line id="_x0000_s1106" style="position:absolute;left:0;text-align:left;z-index:-251582464;mso-position-horizontal-relative:page;mso-position-vertical-relative:page" from="66.5pt,428.85pt" to="545.45pt,428.85pt" o:allowincell="f" strokeweight="1.5pt">
            <w10:wrap anchorx="page" anchory="page"/>
          </v:line>
        </w:pict>
      </w:r>
    </w:p>
    <w:p w:rsidR="00491B30" w:rsidRDefault="00491B30">
      <w:pPr>
        <w:rPr>
          <w:color w:val="000000"/>
          <w:spacing w:val="-1"/>
          <w:sz w:val="20"/>
        </w:rPr>
      </w:pPr>
    </w:p>
    <w:sectPr w:rsidR="00491B30">
      <w:type w:val="continuous"/>
      <w:pgSz w:w="12220" w:h="15820"/>
      <w:pgMar w:top="431" w:right="431" w:bottom="431" w:left="43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auto"/>
    <w:pitch w:val="default"/>
  </w:font>
  <w:font w:name="Times New Roman Italic">
    <w:panose1 w:val="02020503050405090304"/>
    <w:charset w:val="00"/>
    <w:family w:val="auto"/>
    <w:pitch w:val="default"/>
  </w:font>
  <w:font w:name="Times New Roman Bold Italic">
    <w:panose1 w:val="02020703060505090304"/>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80"/>
  <w:doNotShadeFormData/>
  <w:characterSpacingControl w:val="doNotCompress"/>
  <w:compat>
    <w:spaceForUL/>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compatSetting w:name="compatibilityMode" w:uri="http://schemas.microsoft.com/office/word" w:val="12"/>
  </w:compat>
  <w:rsids>
    <w:rsidRoot w:val="00491B30"/>
    <w:rsid w:val="00491B30"/>
    <w:rsid w:val="00BA5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0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style w:type="paragraph" w:default="1" w:styleId="Normal">
    <w:name w:val="Normal"/>
    <w:qFormat/>
    <w:rsid w:val="00805BC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8241</Words>
  <Characters>46975</Characters>
  <Application>Microsoft Office Word</Application>
  <DocSecurity>0</DocSecurity>
  <Lines>391</Lines>
  <Paragraphs>110</Paragraphs>
  <ScaleCrop>false</ScaleCrop>
  <Company/>
  <LinksUpToDate>false</LinksUpToDate>
  <CharactersWithSpaces>55106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Charles Cox</cp:lastModifiedBy>
  <cp:revision>2</cp:revision>
  <dcterms:created xsi:type="dcterms:W3CDTF">2013-02-25T12:50:00Z</dcterms:created>
  <dcterms:modified xsi:type="dcterms:W3CDTF">2013-02-25T12:50:00Z</dcterms:modified>
</cp:coreProperties>
</file>