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0.8.0.0 -->
  <w:body>
    <w:p>
      <w:pPr>
        <w:spacing w:before="0" w:line="240" w:lineRule="exact"/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height:0.95pt;margin-left:66.5pt;margin-top:33.5pt;mso-position-horizontal-relative:page;mso-position-vertical-relative:page;position:absolute;width:91.35pt;z-index:-251658240" o:allowincell="f">
            <v:imagedata r:id="rId4" o:title=""/>
            <w10:wrap anchorx="page" anchory="page"/>
          </v:shape>
        </w:pict>
      </w:r>
      <w:r>
        <w:rPr>
          <w:sz w:val="24"/>
          <w:szCs w:val="24"/>
        </w:rPr>
        <w:pict>
          <v:shape id="_x0000_s1026" type="#_x0000_t75" style="height:0.95pt;margin-left:66.5pt;margin-top:34.5pt;mso-position-horizontal-relative:page;mso-position-vertical-relative:page;position:absolute;width:91.35pt;z-index:-251655168" o:allowincell="f">
            <v:imagedata r:id="rId5" o:title=""/>
            <w10:wrap anchorx="page" anchory="page"/>
          </v:shape>
        </w:pict>
      </w:r>
      <w:r>
        <w:rPr>
          <w:sz w:val="24"/>
          <w:szCs w:val="24"/>
        </w:rPr>
        <w:pict>
          <v:shape id="_x0000_s1027" type="#_x0000_t75" style="height:0.95pt;margin-left:66.5pt;margin-top:35.45pt;mso-position-horizontal-relative:page;mso-position-vertical-relative:page;position:absolute;width:91.35pt;z-index:-251653120" o:allowincell="f">
            <v:imagedata r:id="rId6" o:title=""/>
            <w10:wrap anchorx="page" anchory="page"/>
          </v:shape>
        </w:pict>
      </w:r>
      <w:r>
        <w:rPr>
          <w:sz w:val="24"/>
          <w:szCs w:val="24"/>
        </w:rPr>
        <w:pict>
          <v:shape id="_x0000_s1028" type="#_x0000_t75" style="height:0.95pt;margin-left:66.5pt;margin-top:36.4pt;mso-position-horizontal-relative:page;mso-position-vertical-relative:page;position:absolute;width:91.35pt;z-index:-251651072" o:allowincell="f">
            <v:imagedata r:id="rId7" o:title=""/>
            <w10:wrap anchorx="page" anchory="page"/>
          </v:shape>
        </w:pict>
      </w:r>
      <w:r>
        <w:rPr>
          <w:sz w:val="24"/>
          <w:szCs w:val="24"/>
        </w:rPr>
        <w:pict>
          <v:shape id="_x0000_s1029" type="#_x0000_t75" style="height:0.95pt;margin-left:66.5pt;margin-top:37.35pt;mso-position-horizontal-relative:page;mso-position-vertical-relative:page;position:absolute;width:91.35pt;z-index:-251649024" o:allowincell="f">
            <v:imagedata r:id="rId8" o:title=""/>
            <w10:wrap anchorx="page" anchory="page"/>
          </v:shape>
        </w:pict>
      </w:r>
      <w:r>
        <w:rPr>
          <w:sz w:val="24"/>
          <w:szCs w:val="24"/>
        </w:rPr>
        <w:pict>
          <v:shape id="_x0000_s1030" type="#_x0000_t75" style="height:0.95pt;margin-left:66.5pt;margin-top:38.3pt;mso-position-horizontal-relative:page;mso-position-vertical-relative:page;position:absolute;width:91.35pt;z-index:-251646976" o:allowincell="f">
            <v:imagedata r:id="rId9" o:title=""/>
            <w10:wrap anchorx="page" anchory="page"/>
          </v:shape>
        </w:pict>
      </w:r>
      <w:r>
        <w:rPr>
          <w:sz w:val="24"/>
          <w:szCs w:val="24"/>
        </w:rPr>
        <w:pict>
          <v:shape id="_x0000_s1031" type="#_x0000_t75" style="height:0.95pt;margin-left:66.5pt;margin-top:39.3pt;mso-position-horizontal-relative:page;mso-position-vertical-relative:page;position:absolute;width:91.35pt;z-index:-251644928" o:allowincell="f">
            <v:imagedata r:id="rId10" o:title=""/>
            <w10:wrap anchorx="page" anchory="page"/>
          </v:shape>
        </w:pict>
      </w:r>
      <w:r>
        <w:rPr>
          <w:sz w:val="24"/>
          <w:szCs w:val="24"/>
        </w:rPr>
        <w:pict>
          <v:shape id="_x0000_s1032" type="#_x0000_t75" style="height:0.95pt;margin-left:66.5pt;margin-top:40.25pt;mso-position-horizontal-relative:page;mso-position-vertical-relative:page;position:absolute;width:91.35pt;z-index:-251642880" o:allowincell="f">
            <v:imagedata r:id="rId11" o:title=""/>
            <w10:wrap anchorx="page" anchory="page"/>
          </v:shape>
        </w:pict>
      </w:r>
      <w:r>
        <w:rPr>
          <w:sz w:val="24"/>
          <w:szCs w:val="24"/>
        </w:rPr>
        <w:pict>
          <v:shape id="_x0000_s1033" type="#_x0000_t75" style="height:0.95pt;margin-left:66.5pt;margin-top:41.2pt;mso-position-horizontal-relative:page;mso-position-vertical-relative:page;position:absolute;width:91.35pt;z-index:-251640832" o:allowincell="f">
            <v:imagedata r:id="rId12" o:title=""/>
            <w10:wrap anchorx="page" anchory="page"/>
          </v:shape>
        </w:pict>
      </w:r>
      <w:r>
        <w:rPr>
          <w:sz w:val="24"/>
          <w:szCs w:val="24"/>
        </w:rPr>
        <w:pict>
          <v:shape id="_x0000_s1034" type="#_x0000_t75" style="height:0.95pt;margin-left:66.5pt;margin-top:42.15pt;mso-position-horizontal-relative:page;mso-position-vertical-relative:page;position:absolute;width:91.35pt;z-index:-251638784" o:allowincell="f">
            <v:imagedata r:id="rId13" o:title=""/>
            <w10:wrap anchorx="page" anchory="page"/>
          </v:shape>
        </w:pict>
      </w:r>
      <w:r>
        <w:rPr>
          <w:sz w:val="24"/>
          <w:szCs w:val="24"/>
        </w:rPr>
        <w:pict>
          <v:shape id="_x0000_s1035" type="#_x0000_t75" style="height:0.95pt;margin-left:66.5pt;margin-top:43.1pt;mso-position-horizontal-relative:page;mso-position-vertical-relative:page;position:absolute;width:91.35pt;z-index:-251636736" o:allowincell="f">
            <v:imagedata r:id="rId14" o:title=""/>
            <w10:wrap anchorx="page" anchory="page"/>
          </v:shape>
        </w:pict>
      </w:r>
      <w:r>
        <w:rPr>
          <w:sz w:val="24"/>
          <w:szCs w:val="24"/>
        </w:rPr>
        <w:pict>
          <v:shape id="_x0000_s1036" type="#_x0000_t75" style="height:0.95pt;margin-left:66.5pt;margin-top:44.1pt;mso-position-horizontal-relative:page;mso-position-vertical-relative:page;position:absolute;width:91.35pt;z-index:-251634688" o:allowincell="f">
            <v:imagedata r:id="rId15" o:title=""/>
            <w10:wrap anchorx="page" anchory="page"/>
          </v:shape>
        </w:pict>
      </w:r>
      <w:r>
        <w:rPr>
          <w:sz w:val="24"/>
          <w:szCs w:val="24"/>
        </w:rPr>
        <w:pict>
          <v:shape id="_x0000_s1037" type="#_x0000_t75" style="height:0.95pt;margin-left:66.5pt;margin-top:45.05pt;mso-position-horizontal-relative:page;mso-position-vertical-relative:page;position:absolute;width:91.35pt;z-index:-251632640" o:allowincell="f">
            <v:imagedata r:id="rId16" o:title=""/>
            <w10:wrap anchorx="page" anchory="page"/>
          </v:shape>
        </w:pict>
      </w:r>
      <w:r>
        <w:rPr>
          <w:sz w:val="24"/>
          <w:szCs w:val="24"/>
        </w:rPr>
        <w:pict>
          <v:shape id="_x0000_s1038" type="#_x0000_t75" style="height:0.95pt;margin-left:66.5pt;margin-top:46pt;mso-position-horizontal-relative:page;mso-position-vertical-relative:page;position:absolute;width:91.35pt;z-index:-251630592" o:allowincell="f">
            <v:imagedata r:id="rId17" o:title=""/>
            <w10:wrap anchorx="page" anchory="page"/>
          </v:shape>
        </w:pict>
      </w:r>
      <w:r>
        <w:rPr>
          <w:sz w:val="24"/>
          <w:szCs w:val="24"/>
        </w:rPr>
        <w:pict>
          <v:shape id="_x0000_s1039" type="#_x0000_t75" style="height:0.95pt;margin-left:66.5pt;margin-top:46.95pt;mso-position-horizontal-relative:page;mso-position-vertical-relative:page;position:absolute;width:91.35pt;z-index:-251628544" o:allowincell="f">
            <v:imagedata r:id="rId18" o:title=""/>
            <w10:wrap anchorx="page" anchory="page"/>
          </v:shape>
        </w:pict>
      </w:r>
      <w:r>
        <w:rPr>
          <w:sz w:val="24"/>
          <w:szCs w:val="24"/>
        </w:rPr>
        <w:pict>
          <v:shape id="_x0000_s1040" type="#_x0000_t75" style="height:0.95pt;margin-left:66.5pt;margin-top:47.9pt;mso-position-horizontal-relative:page;mso-position-vertical-relative:page;position:absolute;width:91.35pt;z-index:-251626496" o:allowincell="f">
            <v:imagedata r:id="rId19" o:title=""/>
            <w10:wrap anchorx="page" anchory="page"/>
          </v:shape>
        </w:pict>
      </w:r>
      <w:r>
        <w:rPr>
          <w:sz w:val="24"/>
          <w:szCs w:val="24"/>
        </w:rPr>
        <w:pict>
          <v:shape id="_x0000_s1041" type="#_x0000_t75" style="height:0.95pt;margin-left:66.5pt;margin-top:48.9pt;mso-position-horizontal-relative:page;mso-position-vertical-relative:page;position:absolute;width:91.35pt;z-index:-251624448" o:allowincell="f">
            <v:imagedata r:id="rId20" o:title=""/>
            <w10:wrap anchorx="page" anchory="page"/>
          </v:shape>
        </w:pict>
      </w:r>
      <w:r>
        <w:rPr>
          <w:sz w:val="24"/>
          <w:szCs w:val="24"/>
        </w:rPr>
        <w:pict>
          <v:shape id="_x0000_s1042" type="#_x0000_t75" style="height:0.95pt;margin-left:66.5pt;margin-top:49.85pt;mso-position-horizontal-relative:page;mso-position-vertical-relative:page;position:absolute;width:91.35pt;z-index:-251622400" o:allowincell="f">
            <v:imagedata r:id="rId21" o:title=""/>
            <w10:wrap anchorx="page" anchory="page"/>
          </v:shape>
        </w:pict>
      </w:r>
      <w:r>
        <w:rPr>
          <w:sz w:val="24"/>
          <w:szCs w:val="24"/>
        </w:rPr>
        <w:pict>
          <v:shape id="_x0000_s1043" type="#_x0000_t75" style="height:0.95pt;margin-left:66.5pt;margin-top:50.8pt;mso-position-horizontal-relative:page;mso-position-vertical-relative:page;position:absolute;width:91.35pt;z-index:-251620352" o:allowincell="f">
            <v:imagedata r:id="rId22" o:title=""/>
            <w10:wrap anchorx="page" anchory="page"/>
          </v:shape>
        </w:pict>
      </w:r>
      <w:r>
        <w:rPr>
          <w:sz w:val="24"/>
          <w:szCs w:val="24"/>
        </w:rPr>
        <w:pict>
          <v:shape id="_x0000_s1044" type="#_x0000_t75" style="height:0.75pt;margin-left:66.5pt;margin-top:51.75pt;mso-position-horizontal-relative:page;mso-position-vertical-relative:page;position:absolute;width:91.35pt;z-index:-251618304" o:allowincell="f">
            <v:imagedata r:id="rId23" o:title=""/>
            <w10:wrap anchorx="page" anchory="page"/>
          </v:shape>
        </w:pict>
      </w:r>
      <w:r>
        <w:rPr>
          <w:sz w:val="24"/>
          <w:szCs w:val="24"/>
        </w:rPr>
        <w:pict>
          <v:shape id="_x0000_s1045" type="#_x0000_t75" style="height:17.2pt;margin-left:85.45pt;margin-top:713.25pt;mso-position-horizontal-relative:page;mso-position-vertical-relative:page;position:absolute;width:86.2pt;z-index:-251608064" o:allowincell="f">
            <v:imagedata r:id="rId24" o:title=""/>
            <w10:wrap anchorx="page" anchory="page"/>
          </v:shape>
        </w:pict>
      </w:r>
      <w:r>
        <w:rPr>
          <w:sz w:val="24"/>
          <w:szCs w:val="24"/>
        </w:rPr>
        <w:pict>
          <v:shape id="_x0000_s1046" type="#_x0000_t75" style="height:2.95pt;margin-left:85.45pt;margin-top:730.5pt;mso-position-horizontal-relative:page;mso-position-vertical-relative:page;position:absolute;width:86.2pt;z-index:-251607040" o:allowincell="f">
            <v:imagedata r:id="rId25" o:title=""/>
            <w10:wrap anchorx="page" anchory="page"/>
          </v:shape>
        </w:pict>
      </w:r>
      <w:bookmarkStart w:id="0" w:name="Pg1"/>
      <w:bookmarkEnd w:id="0"/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57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User Name: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Charles Cox </w:t>
      </w:r>
    </w:p>
    <w:p>
      <w:pPr>
        <w:spacing w:before="0" w:line="220" w:lineRule="exact"/>
        <w:ind w:left="898" w:right="6686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Date and Time: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04/09/2013 2:27 PM EDT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Job Number: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2544522 </w:t>
      </w:r>
    </w:p>
    <w:p>
      <w:pPr>
        <w:spacing w:before="12" w:line="229" w:lineRule="exact"/>
        <w:ind w:left="5023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Document(1) </w:t>
      </w:r>
    </w:p>
    <w:p>
      <w:pPr>
        <w:spacing w:before="0" w:line="230" w:lineRule="exact"/>
        <w:ind w:left="898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tabs>
          <w:tab w:val="left" w:pos="1274"/>
        </w:tabs>
        <w:spacing w:before="11" w:line="230" w:lineRule="exact"/>
        <w:ind w:left="898" w:firstLine="0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1.</w:t>
        <w:tab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Pribus v. Bush, 118 Cal. App. 3d 1003</w:t>
      </w:r>
    </w:p>
    <w:p>
      <w:pPr>
        <w:spacing w:before="164" w:line="230" w:lineRule="exact"/>
        <w:ind w:left="898" w:firstLine="389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Client/matter: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Cox</w:t>
      </w: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tabs>
          <w:tab w:val="left" w:pos="5183"/>
        </w:tabs>
        <w:spacing w:before="39" w:line="360" w:lineRule="exact"/>
        <w:ind w:left="3002" w:right="1090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>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About LexisNexis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Privacy Policy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Terms &amp; Conditions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Copyright ©</w:t>
      </w:r>
      <w:r>
        <w:rPr>
          <w:rFonts w:ascii="Verdana" w:hAnsi="Verdana"/>
          <w:color w:val="000000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2013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LexisNexis. </w:t>
        <w:br/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ab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40" w:lineRule="exac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7" type="#_x0000_t75" style="height:7pt;margin-left:308pt;margin-top:688pt;mso-position-horizontal-relative:page;mso-position-vertical-relative:page;position:absolute;width:45pt;z-index:-251581440" o:allowincell="f">
            <v:imagedata r:id="rId2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8" type="#_x0000_t75" style="height:7pt;margin-left:362pt;margin-top:675pt;mso-position-horizontal-relative:page;mso-position-vertical-relative:page;position:absolute;width:182pt;z-index:-251582464" o:allowincell="f">
            <v:imagedata r:id="rId2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9" type="#_x0000_t75" style="height:30pt;margin-left:296pt;margin-top:526pt;mso-position-horizontal-relative:page;mso-position-vertical-relative:page;position:absolute;width:264pt;z-index:-251589632" o:allowincell="f">
            <v:imagedata r:id="rId2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0" type="#_x0000_t75" style="height:30pt;margin-left:51pt;margin-top:474pt;mso-position-horizontal-relative:page;mso-position-vertical-relative:page;position:absolute;width:264pt;z-index:-251599872" o:allowincell="f">
            <v:imagedata r:id="rId2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1" type="#_x0000_t75" style="height:31pt;margin-left:51pt;margin-top:396pt;mso-position-horizontal-relative:page;mso-position-vertical-relative:page;position:absolute;width:264pt;z-index:-251604992" o:allowincell="f">
            <v:imagedata r:id="rId3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2" type="#_x0000_t75" style="height:7pt;margin-left:121pt;margin-top:290pt;mso-position-horizontal-relative:page;mso-position-vertical-relative:page;position:absolute;width:50pt;z-index:-251606016" o:allowincell="f">
            <v:imagedata r:id="rId3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3" type="#_x0000_t75" style="height:6pt;margin-left:262pt;margin-top:154pt;mso-position-horizontal-relative:page;mso-position-vertical-relative:page;position:absolute;width:42pt;z-index:-251611136" o:allowincell="f">
            <v:imagedata r:id="rId3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4" type="#_x0000_t75" style="height:13pt;margin-left:66pt;margin-top:75pt;mso-position-horizontal-relative:page;mso-position-vertical-relative:page;position:absolute;width:13pt;z-index:-251616256" o:allowincell="f">
            <v:imagedata r:id="rId3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5" type="#_x0000_t75" style="height:20pt;margin-left:66pt;margin-top:50pt;mso-position-horizontal-relative:page;mso-position-vertical-relative:page;position:absolute;width:92pt;z-index:-251657216" o:allowincell="f">
            <v:imagedata r:id="rId3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6" type="#_x0000_t75" style="height:0.95pt;margin-left:66.5pt;margin-top:50.75pt;mso-position-horizontal-relative:page;mso-position-vertical-relative:page;position:absolute;width:91.35pt;z-index:-251656192" o:allowincell="f">
            <v:imagedata r:id="rId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7" type="#_x0000_t75" style="height:0.95pt;margin-left:66.5pt;margin-top:51.7pt;mso-position-horizontal-relative:page;mso-position-vertical-relative:page;position:absolute;width:91.35pt;z-index:-251654144" o:allowincell="f">
            <v:imagedata r:id="rId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8" type="#_x0000_t75" style="height:0.95pt;margin-left:66.5pt;margin-top:52.65pt;mso-position-horizontal-relative:page;mso-position-vertical-relative:page;position:absolute;width:91.35pt;z-index:-251652096" o:allowincell="f">
            <v:imagedata r:id="rId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9" type="#_x0000_t75" style="height:0.95pt;margin-left:66.5pt;margin-top:53.6pt;mso-position-horizontal-relative:page;mso-position-vertical-relative:page;position:absolute;width:91.35pt;z-index:-251650048" o:allowincell="f">
            <v:imagedata r:id="rId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0" type="#_x0000_t75" style="height:0.95pt;margin-left:66.5pt;margin-top:54.6pt;mso-position-horizontal-relative:page;mso-position-vertical-relative:page;position:absolute;width:91.35pt;z-index:-251648000" o:allowincell="f">
            <v:imagedata r:id="rId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1" type="#_x0000_t75" style="height:0.95pt;margin-left:66.5pt;margin-top:55.55pt;mso-position-horizontal-relative:page;mso-position-vertical-relative:page;position:absolute;width:91.35pt;z-index:-251645952" o:allowincell="f">
            <v:imagedata r:id="rId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2" type="#_x0000_t75" style="height:0.95pt;margin-left:66.5pt;margin-top:56.5pt;mso-position-horizontal-relative:page;mso-position-vertical-relative:page;position:absolute;width:91.35pt;z-index:-251643904" o:allowincell="f">
            <v:imagedata r:id="rId1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3" type="#_x0000_t75" style="height:0.95pt;margin-left:66.5pt;margin-top:57.45pt;mso-position-horizontal-relative:page;mso-position-vertical-relative:page;position:absolute;width:91.35pt;z-index:-251641856" o:allowincell="f">
            <v:imagedata r:id="rId1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4" type="#_x0000_t75" style="height:0.95pt;margin-left:66.5pt;margin-top:58.4pt;mso-position-horizontal-relative:page;mso-position-vertical-relative:page;position:absolute;width:91.35pt;z-index:-251639808" o:allowincell="f">
            <v:imagedata r:id="rId1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5" type="#_x0000_t75" style="height:0.95pt;margin-left:66.5pt;margin-top:59.4pt;mso-position-horizontal-relative:page;mso-position-vertical-relative:page;position:absolute;width:91.35pt;z-index:-251637760" o:allowincell="f">
            <v:imagedata r:id="rId1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6" type="#_x0000_t75" style="height:0.95pt;margin-left:66.5pt;margin-top:60.35pt;mso-position-horizontal-relative:page;mso-position-vertical-relative:page;position:absolute;width:91.35pt;z-index:-251635712" o:allowincell="f">
            <v:imagedata r:id="rId1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7" type="#_x0000_t75" style="height:0.95pt;margin-left:66.5pt;margin-top:61.3pt;mso-position-horizontal-relative:page;mso-position-vertical-relative:page;position:absolute;width:91.35pt;z-index:-251633664" o:allowincell="f">
            <v:imagedata r:id="rId1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8" type="#_x0000_t75" style="height:0.95pt;margin-left:66.5pt;margin-top:62.25pt;mso-position-horizontal-relative:page;mso-position-vertical-relative:page;position:absolute;width:91.35pt;z-index:-251631616" o:allowincell="f">
            <v:imagedata r:id="rId1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9" type="#_x0000_t75" style="height:0.95pt;margin-left:66.5pt;margin-top:63.2pt;mso-position-horizontal-relative:page;mso-position-vertical-relative:page;position:absolute;width:91.35pt;z-index:-251629568" o:allowincell="f">
            <v:imagedata r:id="rId1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0" type="#_x0000_t75" style="height:0.95pt;margin-left:66.5pt;margin-top:64.2pt;mso-position-horizontal-relative:page;mso-position-vertical-relative:page;position:absolute;width:91.35pt;z-index:-251627520" o:allowincell="f">
            <v:imagedata r:id="rId1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1" type="#_x0000_t75" style="height:0.95pt;margin-left:66.5pt;margin-top:65.15pt;mso-position-horizontal-relative:page;mso-position-vertical-relative:page;position:absolute;width:91.35pt;z-index:-251625472" o:allowincell="f">
            <v:imagedata r:id="rId1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2" type="#_x0000_t75" style="height:0.95pt;margin-left:66.5pt;margin-top:66.1pt;mso-position-horizontal-relative:page;mso-position-vertical-relative:page;position:absolute;width:91.35pt;z-index:-251623424" o:allowincell="f">
            <v:imagedata r:id="rId2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3" type="#_x0000_t75" style="height:0.95pt;margin-left:66.5pt;margin-top:67.05pt;mso-position-horizontal-relative:page;mso-position-vertical-relative:page;position:absolute;width:91.35pt;z-index:-251621376" o:allowincell="f">
            <v:imagedata r:id="rId2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4" type="#_x0000_t75" style="height:0.95pt;margin-left:66.5pt;margin-top:68pt;mso-position-horizontal-relative:page;mso-position-vertical-relative:page;position:absolute;width:91.35pt;z-index:-251619328" o:allowincell="f">
            <v:imagedata r:id="rId2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5" type="#_x0000_t75" style="height:0.75pt;margin-left:66.5pt;margin-top:69pt;mso-position-horizontal-relative:page;mso-position-vertical-relative:page;position:absolute;width:91.35pt;z-index:-251617280" o:allowincell="f">
            <v:imagedata r:id="rId2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6" type="#_x0000_t75" style="height:12pt;margin-left:66.5pt;margin-top:75.65pt;mso-position-horizontal-relative:page;mso-position-vertical-relative:page;position:absolute;width:12pt;z-index:-251615232" o:allowincell="f">
            <v:imagedata r:id="rId35" o:title=""/>
            <w10:wrap anchorx="page" anchory="page"/>
          </v:shape>
        </w:pict>
      </w:r>
      <w:bookmarkStart w:id="1" w:name="Pg2"/>
      <w:bookmarkEnd w:id="1"/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5" w:line="276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Caution </w:t>
      </w:r>
    </w:p>
    <w:p>
      <w:pPr>
        <w:spacing w:before="1" w:line="232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As of: April 9, 2013 2:27 PM EDT </w:t>
      </w:r>
    </w:p>
    <w:p>
      <w:pPr>
        <w:spacing w:before="0" w:line="299" w:lineRule="exact"/>
        <w:ind w:left="4877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274" w:line="299" w:lineRule="exact"/>
        <w:ind w:left="4877"/>
        <w:jc w:val="left"/>
        <w:rPr>
          <w:rFonts w:ascii="Times New Roman Bold" w:hAnsi="Times New Roman Bold"/>
          <w:color w:val="000000"/>
          <w:spacing w:val="-1"/>
          <w:w w:val="100"/>
          <w:position w:val="0"/>
          <w:sz w:val="26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6"/>
          <w:szCs w:val="24"/>
          <w:u w:val="single"/>
          <w:vertAlign w:val="baseline"/>
        </w:rPr>
        <w:t xml:space="preserve"> Pribus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6"/>
          <w:szCs w:val="24"/>
          <w:u w:val="none"/>
          <w:vertAlign w:val="baseline"/>
        </w:rPr>
        <w:t xml:space="preserve"> v. Bush </w:t>
      </w:r>
    </w:p>
    <w:p>
      <w:pPr>
        <w:tabs>
          <w:tab w:val="left" w:pos="4999"/>
        </w:tabs>
        <w:spacing w:before="157" w:line="280" w:lineRule="exact"/>
        <w:ind w:left="2214" w:right="2002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Court of Appeal of California, Fourth Appellate District, Division Two </w:t>
        <w:br/>
        <w:tab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May 12, 1981 </w:t>
      </w:r>
    </w:p>
    <w:p>
      <w:pPr>
        <w:spacing w:before="4" w:line="276" w:lineRule="exact"/>
        <w:ind w:left="493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Civ. No. 23473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42" w:line="259" w:lineRule="exact"/>
        <w:ind w:left="898" w:right="0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>Reporter:</w:t>
      </w: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 xml:space="preserve"> 118 Cal. App. 3d 1003; 173 Cal. Rptr.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Serv. (Callaghan) 599</w:t>
      </w: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93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HELEN A.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PRIBUS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Plaintiff and Respondent,</w:t>
      </w:r>
    </w:p>
    <w:p>
      <w:pPr>
        <w:spacing w:before="1" w:line="255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v. PHILIP L. BUSH, Defendant and Appellant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2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Prior History: 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[***1]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Superior Court of Or-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ange County, No. 314923, Philip Edgar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Schwab, Jr., Judge.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Disposition: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AFFIRMED.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66" w:line="230" w:lineRule="exact"/>
        <w:ind w:left="97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Core Terms</w:t>
      </w:r>
    </w:p>
    <w:p>
      <w:pPr>
        <w:spacing w:before="0" w:line="239" w:lineRule="exact"/>
        <w:ind w:left="89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</w:p>
    <w:p>
      <w:pPr>
        <w:spacing w:before="3" w:line="239" w:lineRule="exact"/>
        <w:ind w:left="898" w:right="20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indorsement, allonge, promissory note,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negotiable instrument, holder in due course,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space, law merchant, trust deed, holder</w:t>
      </w:r>
    </w:p>
    <w:p>
      <w:pPr>
        <w:spacing w:before="0" w:line="230" w:lineRule="exact"/>
        <w:ind w:left="97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133" w:line="230" w:lineRule="exact"/>
        <w:ind w:left="978"/>
        <w:jc w:val="left"/>
        <w:rPr>
          <w:rFonts w:ascii="Times New Roman Bold" w:hAnsi="Times New Roman Bold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Case Summary</w:t>
      </w:r>
    </w:p>
    <w:p>
      <w:pPr>
        <w:spacing w:before="211" w:line="276" w:lineRule="exact"/>
        <w:ind w:left="89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Procedural Posture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Defendant appealed a judgment of the Superior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Court of Orange County (California) enjoin-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ing the foreclosure of a trust deed on plain-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tiff’s house and ordering the cancellation of a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promissory note signed by plaintiff.</w:t>
      </w:r>
    </w:p>
    <w:p>
      <w:pPr>
        <w:spacing w:before="245" w:line="276" w:lineRule="exact"/>
        <w:ind w:left="89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Overview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Defendant, after an unsuccessful effort to col-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lect on a promissory note, filed a</w:t>
      </w:r>
      <w:r>
        <w:rPr>
          <w:rFonts w:ascii="Symbol" w:hAnsi="Symbol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Notice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Breach and Default and of Election to Cause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Sale of Real Property Under Deed of Trust.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0020"/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000B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Plaintiff responded by seeking a cancellation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instrument, declaratory relief, and injunction.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The trial court enjoined the foreclosure of a trust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 on plaintiff’s house and ordered the can-</w:t>
      </w:r>
    </w:p>
    <w:p>
      <w:pPr>
        <w:spacing w:before="0" w:line="276" w:lineRule="exact"/>
        <w:ind w:left="566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10" w:line="276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747; 1981 Cal. App. LEXIS 1724; 31 U.C.C. Rep.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38" w:line="259" w:lineRule="exact"/>
        <w:ind w:left="167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cellation of the promissory note signed by plain-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tiff. The court affirmed, holding that the assign-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ment by allonge of plaintiff’s promissory</w:t>
      </w:r>
    </w:p>
    <w:p>
      <w:pPr>
        <w:spacing w:before="0" w:line="259" w:lineRule="exact"/>
        <w:ind w:left="167" w:right="67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note by third party to defendant was ineffec-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tive as an indorsement, since there was suffi-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cient space on the note itself for the indorse-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ment. There having been no indorsement of</w:t>
      </w:r>
    </w:p>
    <w:p>
      <w:pPr>
        <w:spacing w:before="0" w:line="259" w:lineRule="exact"/>
        <w:ind w:left="167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the note, defendant was not a holder in due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course and, therefore, took the note subject to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defenses that plaintiff had against third</w:t>
      </w:r>
    </w:p>
    <w:p>
      <w:pPr>
        <w:spacing w:before="0" w:line="259" w:lineRule="exact"/>
        <w:ind w:left="167"/>
        <w:jc w:val="left"/>
        <w:rPr>
          <w:rFonts w:ascii="Times New Roman" w:hAnsi="Times New Roman"/>
          <w:color w:val="000000"/>
          <w:spacing w:val="-6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>party.</w:t>
      </w:r>
    </w:p>
    <w:p>
      <w:pPr>
        <w:spacing w:before="246" w:line="276" w:lineRule="exact"/>
        <w:ind w:left="167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Outcome</w:t>
      </w:r>
    </w:p>
    <w:p>
      <w:pPr>
        <w:spacing w:before="0" w:line="259" w:lineRule="exact"/>
        <w:ind w:left="167" w:right="77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court affirmed, holding that the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 by allonge of plaintiff’s promissory note</w:t>
      </w:r>
    </w:p>
    <w:p>
      <w:pPr>
        <w:spacing w:before="0" w:line="259" w:lineRule="exact"/>
        <w:ind w:left="167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by third party to defendant was ineffective as 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indorsement, and therefore, defendant was not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a holder in due course and took the note sub-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ject to the defenses that plaintiff had against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third party.</w:t>
      </w:r>
    </w:p>
    <w:p>
      <w:pPr>
        <w:spacing w:before="0" w:line="230" w:lineRule="exact"/>
        <w:ind w:left="5807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69" w:line="230" w:lineRule="exact"/>
        <w:ind w:left="247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LexisNexis® Headnotes</w:t>
      </w:r>
    </w:p>
    <w:p>
      <w:pPr>
        <w:spacing w:before="0" w:line="219" w:lineRule="exact"/>
        <w:ind w:left="5807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15" w:line="219" w:lineRule="exact"/>
        <w:ind w:left="367" w:right="679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Commercial Law (UCC) &gt; Negotiable Instruments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(Article 3) &gt; Dishonor &amp; Presentment &gt; General Over-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view</w:t>
      </w:r>
    </w:p>
    <w:p>
      <w:pPr>
        <w:spacing w:before="0" w:line="219" w:lineRule="exact"/>
        <w:ind w:left="367" w:right="69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 Law  (UCC)  &gt;  ...  &gt;  Enforce-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ment &gt; Holders in Due Course &gt; General Overview </w:t>
      </w: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Commercial Law (UCC) &gt; ... &gt; Enforcement &gt; Hold-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ers in Due Course &gt; Requirements</w:t>
      </w:r>
    </w:p>
    <w:p>
      <w:pPr>
        <w:spacing w:before="0" w:line="219" w:lineRule="exact"/>
        <w:ind w:left="367" w:right="778"/>
        <w:jc w:val="both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Law (UCC) &gt; ... &gt; Definitions &amp; Gen-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eral Provisions &gt; Definitions &gt; Holders in Due Course</w:t>
      </w:r>
    </w:p>
    <w:p>
      <w:pPr>
        <w:spacing w:before="192" w:line="259" w:lineRule="exact"/>
        <w:ind w:left="167" w:right="720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HN1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 See</w:t>
      </w:r>
      <w:r>
        <w:rPr>
          <w:rFonts w:ascii="Times New Roman Italic" w:hAnsi="Times New Roman Italic"/>
          <w:color w:val="0000FF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6"/>
          <w:position w:val="0"/>
          <w:sz w:val="24"/>
          <w:szCs w:val="24"/>
          <w:u w:val="single"/>
          <w:vertAlign w:val="baseline"/>
        </w:rPr>
        <w:t xml:space="preserve"> Cal. Uniform Commercial Code §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3302(1)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30" w:lineRule="exact"/>
        <w:ind w:left="6007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29" w:line="230" w:lineRule="exact"/>
        <w:ind w:left="367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Law (UCC) &gt; General Provisions (Ar-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20" w:space="40"/>
            <w:col w:w="5556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19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7" style="mso-position-horizontal-relative:page;mso-position-vertical-relative:page;position:absolute;z-index:-251603968" from="66.5pt,405.2pt" to="301pt,405.2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8" style="mso-position-horizontal-relative:page;mso-position-vertical-relative:page;position:absolute;z-index:-251602944" from="300pt,412.05pt" to="301pt,412.0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9" style="mso-position-horizontal-relative:page;mso-position-vertical-relative:page;position:absolute;z-index:-251601920" from="66.5pt,418.9pt" to="301pt,418.9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0" style="mso-position-horizontal-relative:page;mso-position-vertical-relative:page;position:absolute;z-index:-251600896" from="66.5pt,412.05pt" to="67.5pt,412.0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1" style="mso-position-horizontal-relative:page;mso-position-vertical-relative:page;position:absolute;z-index:-251598848" from="66.5pt,482.8pt" to="301pt,482.8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2" style="mso-position-horizontal-relative:page;mso-position-vertical-relative:page;position:absolute;z-index:-251597824" from="300pt,489.65pt" to="301pt,489.6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3" style="mso-position-horizontal-relative:page;mso-position-vertical-relative:page;position:absolute;z-index:-251596800" from="66.5pt,496.5pt" to="301pt,496.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4" style="mso-position-horizontal-relative:page;mso-position-vertical-relative:page;position:absolute;z-index:-251595776" from="66.5pt,489.65pt" to="67.5pt,489.6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5" style="mso-position-horizontal-relative:page;mso-position-vertical-relative:page;position:absolute;z-index:-251588608" from="311.95pt,534.9pt" to="546.45pt,534.9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6" style="mso-position-horizontal-relative:page;mso-position-vertical-relative:page;position:absolute;z-index:-251586560" from="545.45pt,541.8pt" to="546.45pt,541.8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7" style="mso-position-horizontal-relative:page;mso-position-vertical-relative:page;position:absolute;z-index:-251584512" from="311.95pt,548.65pt" to="546.45pt,548.6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8" style="mso-position-horizontal-relative:page;mso-position-vertical-relative:page;position:absolute;z-index:-251583488" from="311.95pt,541.8pt" to="312.95pt,541.8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2" w:name="Pg3"/>
      <w:bookmarkEnd w:id="2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>Page 2 of 7</w:t>
      </w:r>
    </w:p>
    <w:p>
      <w:pPr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0" w:line="230" w:lineRule="exact"/>
        <w:ind w:left="1881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118 Cal. App. 3d 1003, *1003; 173 Cal. Rptr.</w:t>
      </w:r>
    </w:p>
    <w:p>
      <w:pPr>
        <w:spacing w:before="0" w:line="230" w:lineRule="exact"/>
        <w:ind w:left="1098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58" w:line="230" w:lineRule="exact"/>
        <w:ind w:left="10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1) &gt; General Provisions</w:t>
      </w:r>
    </w:p>
    <w:p>
      <w:pPr>
        <w:spacing w:before="0" w:line="219" w:lineRule="exact"/>
        <w:ind w:left="10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 Law  (UCC)  &gt;  ...  &gt;  Enforce-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ment &gt; Holders in Due Course &gt; General Overview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Contracts Law &gt; ... &gt; Types of Parties &gt; Holders in Due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Course &gt; General Overview</w:t>
      </w:r>
    </w:p>
    <w:p>
      <w:pPr>
        <w:spacing w:before="0" w:line="219" w:lineRule="exact"/>
        <w:ind w:left="1098" w:right="159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Contracts Law &gt; ... &gt; Types of Parties &gt; Holders in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Due Course &gt; Requirements</w:t>
      </w:r>
    </w:p>
    <w:p>
      <w:pPr>
        <w:spacing w:before="0" w:line="219" w:lineRule="exact"/>
        <w:ind w:left="1098" w:right="72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Contracts  Law  </w:t>
      </w:r>
      <w:r>
        <w:rPr>
          <w:rFonts w:ascii="Times New Roman" w:hAnsi="Times New Roman"/>
          <w:color w:val="000000"/>
          <w:spacing w:val="0"/>
          <w:w w:val="122"/>
          <w:position w:val="0"/>
          <w:sz w:val="20"/>
          <w:szCs w:val="24"/>
          <w:u w:val="none"/>
          <w:vertAlign w:val="baseline"/>
        </w:rPr>
        <w:t xml:space="preserve">&gt; ...  </w:t>
      </w:r>
      <w:r>
        <w:rPr>
          <w:rFonts w:ascii="Times New Roman" w:hAnsi="Times New Roman"/>
          <w:color w:val="000000"/>
          <w:spacing w:val="0"/>
          <w:w w:val="104"/>
          <w:position w:val="0"/>
          <w:sz w:val="20"/>
          <w:szCs w:val="24"/>
          <w:u w:val="none"/>
          <w:vertAlign w:val="baseline"/>
        </w:rPr>
        <w:t>&gt; Negotiable  Instru-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ments &gt; Indorsements &gt; General Overview</w:t>
      </w:r>
    </w:p>
    <w:p>
      <w:pPr>
        <w:spacing w:before="0" w:line="219" w:lineRule="exact"/>
        <w:ind w:left="10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Contracts Law &gt; ... &gt; Negotiable Instruments &gt; Indorse-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ments &gt; Qualified Indorsements</w:t>
      </w:r>
    </w:p>
    <w:p>
      <w:pPr>
        <w:spacing w:before="192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HN2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A holder is a person who is in possession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an instrument issued or indorsed to him.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Cal. Uniform Commercial Code § 1201(20)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Commercial Law (UCC) &gt; Negotiable Instruments (Ar-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3) &gt; Indorsements, Negotiations &amp; Trans-</w:t>
      </w:r>
    </w:p>
    <w:p>
      <w:pPr>
        <w:spacing w:before="0" w:line="219" w:lineRule="exact"/>
        <w:ind w:left="10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fers &gt; Indorsements</w:t>
      </w:r>
    </w:p>
    <w:p>
      <w:pPr>
        <w:spacing w:before="192" w:line="259" w:lineRule="exact"/>
        <w:ind w:left="898" w:right="236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HN3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See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Cal. Uniform Commercial Code §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3202(2)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18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Law (UCC) &gt; General Provisions (Ar-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1)</w:t>
      </w:r>
    </w:p>
    <w:p>
      <w:pPr>
        <w:spacing w:before="1" w:line="219" w:lineRule="exact"/>
        <w:ind w:left="1098" w:right="18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Law (UCC) &gt; General Provisions (Ar-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1) &gt; General Provisions</w:t>
      </w:r>
    </w:p>
    <w:p>
      <w:pPr>
        <w:spacing w:before="1" w:line="219" w:lineRule="exact"/>
        <w:ind w:left="1098" w:right="37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Law (UCC) &gt; ... &gt; General Provi-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sions &gt; Policies &amp; Purposes &gt; General Overview</w:t>
      </w:r>
    </w:p>
    <w:p>
      <w:pPr>
        <w:spacing w:before="1" w:line="219" w:lineRule="exact"/>
        <w:ind w:left="1098" w:right="7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 Law  (UCC)  &gt;  ...  &gt;  General  Provi-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sions &gt; Policies &amp; Purposes &gt; Supplemental Prin-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ciples of Law</w:t>
      </w:r>
    </w:p>
    <w:p>
      <w:pPr>
        <w:spacing w:before="192" w:line="259" w:lineRule="exact"/>
        <w:ind w:left="898" w:right="236"/>
        <w:jc w:val="both"/>
        <w:rPr>
          <w:rFonts w:ascii="Times New Roman" w:hAnsi="Times New Roman"/>
          <w:color w:val="000000"/>
          <w:spacing w:val="-6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HN4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See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Cal. Uniform Commercial Code § </w:t>
      </w:r>
      <w:r>
        <w:rPr>
          <w:rFonts w:ascii="Times New Roman Italic" w:hAnsi="Times New Roman Italic"/>
          <w:color w:val="0000FF"/>
          <w:spacing w:val="-6"/>
          <w:w w:val="100"/>
          <w:position w:val="0"/>
          <w:sz w:val="24"/>
          <w:szCs w:val="24"/>
          <w:u w:val="single"/>
          <w:vertAlign w:val="baseline"/>
        </w:rPr>
        <w:t>1103</w:t>
      </w: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6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Commercial Law (UCC) &gt; Negotiable Instruments (Ar-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3) &gt; Indorsements, Negotiations &amp; Trans-</w:t>
      </w:r>
    </w:p>
    <w:p>
      <w:pPr>
        <w:spacing w:before="0" w:line="219" w:lineRule="exact"/>
        <w:ind w:left="10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fers &gt; Indorsements</w:t>
      </w:r>
    </w:p>
    <w:p>
      <w:pPr>
        <w:spacing w:before="1" w:line="219" w:lineRule="exact"/>
        <w:ind w:left="10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Contracts Law &gt; Types of Commercial Transac-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tions &gt; Negotiable Instruments &gt; General Overview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Contracts Law &gt; ... &gt; Negotiable Instruments &gt; Indorse-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ments &gt; General Overview</w:t>
      </w:r>
    </w:p>
    <w:p>
      <w:pPr>
        <w:spacing w:before="192" w:line="259" w:lineRule="exact"/>
        <w:ind w:left="898" w:right="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HN5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The law merchant permits the use of an al-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longe only when there is no longer room 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negotiable instrument itself to write an in-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dorsement.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Commercial Law (UCC) &gt; Negotiable Instruments (Ar-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ticle 3) &gt; Indorsements, Negotiations &amp; Trans-</w:t>
      </w:r>
    </w:p>
    <w:p>
      <w:pPr>
        <w:spacing w:before="1" w:line="219" w:lineRule="exact"/>
        <w:ind w:left="10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fers &gt; Indorsements</w:t>
      </w:r>
    </w:p>
    <w:p>
      <w:pPr>
        <w:spacing w:before="0" w:line="219" w:lineRule="exact"/>
        <w:ind w:left="1098" w:right="72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Contracts  Law  </w:t>
      </w:r>
      <w:r>
        <w:rPr>
          <w:rFonts w:ascii="Times New Roman" w:hAnsi="Times New Roman"/>
          <w:color w:val="000000"/>
          <w:spacing w:val="0"/>
          <w:w w:val="122"/>
          <w:position w:val="0"/>
          <w:sz w:val="20"/>
          <w:szCs w:val="24"/>
          <w:u w:val="none"/>
          <w:vertAlign w:val="baseline"/>
        </w:rPr>
        <w:t xml:space="preserve">&gt; ...  </w:t>
      </w:r>
      <w:r>
        <w:rPr>
          <w:rFonts w:ascii="Times New Roman" w:hAnsi="Times New Roman"/>
          <w:color w:val="000000"/>
          <w:spacing w:val="0"/>
          <w:w w:val="104"/>
          <w:position w:val="0"/>
          <w:sz w:val="20"/>
          <w:szCs w:val="24"/>
          <w:u w:val="none"/>
          <w:vertAlign w:val="baseline"/>
        </w:rPr>
        <w:t>&gt; Negotiable  Instru-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ments &gt; Indorsements &gt; General Overview</w:t>
      </w:r>
    </w:p>
    <w:p>
      <w:pPr>
        <w:spacing w:before="192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general rule is that an instrument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could be indorsed only by writing on the instru-</w:t>
      </w:r>
    </w:p>
    <w:p>
      <w:pPr>
        <w:spacing w:before="20" w:line="230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747, **747; 1981 Cal. App. LEXIS 1724, ***1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123" w:right="648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ment itself, but that an exception to the rule al-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lows the use of an attached paper when the</w:t>
      </w:r>
    </w:p>
    <w:p>
      <w:pPr>
        <w:spacing w:before="0" w:line="259" w:lineRule="exact"/>
        <w:ind w:left="123" w:right="639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back of the instrument is so covered as to make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it necessary.</w:t>
      </w:r>
    </w:p>
    <w:p>
      <w:pPr>
        <w:spacing w:before="0" w:line="230" w:lineRule="exact"/>
        <w:ind w:left="5807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68" w:line="230" w:lineRule="exact"/>
        <w:ind w:left="203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Headnotes/Syllabus</w:t>
      </w:r>
    </w:p>
    <w:p>
      <w:pPr>
        <w:spacing w:before="211" w:line="276" w:lineRule="exact"/>
        <w:ind w:left="123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Summary</w:t>
      </w:r>
    </w:p>
    <w:p>
      <w:pPr>
        <w:spacing w:before="0" w:line="259" w:lineRule="exact"/>
        <w:ind w:left="123" w:right="648"/>
        <w:jc w:val="both"/>
        <w:rPr>
          <w:rFonts w:ascii="Times New Roman Bold" w:hAnsi="Times New Roman Bold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CALIFORNIA OFFICIAL REPORTS SUM-</w:t>
        <w:br/>
      </w:r>
      <w:r>
        <w:rPr>
          <w:rFonts w:ascii="Times New Roman Bold" w:hAnsi="Times New Roman Bold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MARY</w:t>
      </w:r>
    </w:p>
    <w:p>
      <w:pPr>
        <w:spacing w:before="0" w:line="259" w:lineRule="exact"/>
        <w:ind w:left="5807"/>
        <w:jc w:val="left"/>
        <w:rPr>
          <w:rFonts w:ascii="Times New Roman Bold" w:hAnsi="Times New Roman Bold"/>
          <w:color w:val="000000"/>
          <w:spacing w:val="-4"/>
          <w:w w:val="100"/>
          <w:position w:val="0"/>
          <w:u w:val="none"/>
          <w:vertAlign w:val="baseline"/>
        </w:rPr>
      </w:pPr>
    </w:p>
    <w:p>
      <w:pPr>
        <w:spacing w:before="40" w:line="259" w:lineRule="exact"/>
        <w:ind w:left="123" w:right="639" w:firstLine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maker of a promissory note that had been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assigned by the payees to an assignee by a pa-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per stapled to the note as an allonge brought an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action for cancellation of the note and an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junction against foreclosure under the deed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trust on her house securing the note. The maker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commenced the action after the assignee had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filed a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Notice of Breach and Default and of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Election to Cause Sale of Real Property Under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 of Trust,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following the assignee’s un-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successful effort to collect on the note. The note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was a replacement for another that had been ex-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ecuted by the maker at the request of her</w:t>
      </w:r>
    </w:p>
    <w:p>
      <w:pPr>
        <w:spacing w:before="0" w:line="259" w:lineRule="exact"/>
        <w:ind w:left="123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son who owed the payees a large sum of money.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original note was never delivered, but the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payees induced the maker to execute the replace-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ment note for the same amount as the first</w:t>
      </w:r>
    </w:p>
    <w:p>
      <w:pPr>
        <w:spacing w:before="0" w:line="259" w:lineRule="exact"/>
        <w:ind w:left="123" w:right="639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note on the payees’ false representation they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would hold the note and make no use of it. There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was parol evidence that the payees were to be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paid any excess collected on the note over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above a specified amount. Judgment was 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tered ordering cancellation of the note and 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joining the assignee from foreclosing on the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deed of trust. The judgment followed the court’s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determination that the allonge was not effec-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tive as an indorsement, that due to the lack of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an effective indorsement and the fact the pay-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ees retained an interest in the note there had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been no negotiation of the note, and that thus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assignee was not a holder in due course and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took the note subject to the maker’s defenses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against the payees of fraudulent inducement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lack of consideration. (Superior Court of Or-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ange County, No. 314923, Philip Edgar Schwab,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Jr., Judge.)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123" w:right="134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Headnotes </w:t>
        <w:br/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CALIFORNIA OFFICIAL REPORTS </w:t>
      </w:r>
    </w:p>
    <w:p>
      <w:pPr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64" w:space="40"/>
            <w:col w:w="5512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7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9" style="mso-position-horizontal-relative:page;mso-position-vertical-relative:page;position:absolute;z-index:-251593728" from="311.95pt,140.05pt" to="546.45pt,140.0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0" style="mso-position-horizontal-relative:page;mso-position-vertical-relative:page;position:absolute;z-index:-251592704" from="545.45pt,146.9pt" to="546.45pt,146.9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1" style="mso-position-horizontal-relative:page;mso-position-vertical-relative:page;position:absolute;z-index:-251591680" from="311.95pt,153.75pt" to="546.45pt,153.7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2" style="mso-position-horizontal-relative:page;mso-position-vertical-relative:page;position:absolute;z-index:-251590656" from="311.95pt,146.9pt" to="312.95pt,146.9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3" w:name="Pg4"/>
      <w:bookmarkEnd w:id="3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>Page 3 of 7</w:t>
      </w:r>
    </w:p>
    <w:p>
      <w:pPr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0" w:line="230" w:lineRule="exact"/>
        <w:ind w:left="1881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118 Cal. App. 3d 1003, *1003; 173 Cal. Rptr.</w:t>
      </w:r>
    </w:p>
    <w:p>
      <w:pPr>
        <w:spacing w:before="275" w:line="276" w:lineRule="exact"/>
        <w:ind w:left="89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HEADNOTES</w:t>
      </w:r>
    </w:p>
    <w:p>
      <w:pPr>
        <w:spacing w:before="0" w:line="259" w:lineRule="exact"/>
        <w:ind w:left="898" w:right="52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Classified to California Digest of Official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ports, 3d Series</w:t>
      </w:r>
    </w:p>
    <w:p>
      <w:pPr>
        <w:spacing w:before="245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(1)</w:t>
      </w:r>
    </w:p>
    <w:p>
      <w:pPr>
        <w:spacing w:before="0" w:line="230" w:lineRule="exact"/>
        <w:ind w:left="1098" w:right="30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Commercial Paper § 9 &gt; Transfer and Negotia-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tion &gt; Indorsement &gt; Affixation of Payees’ Signature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on Allonge.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25" w:line="259" w:lineRule="exact"/>
        <w:ind w:left="898" w:right="116"/>
        <w:jc w:val="both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--In an action by the maker of a promissory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note secured by a deed of trust on real prop-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erty for cancellation of the note that had been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signed by allonge and an injunction against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assignee’s foreclosure under the deed of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trust, the trial court properly found in support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its judgment granting the requested relief that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the payees’ assignment of the note by allonge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ineffective as an indorsement, and that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 assignee thus was not a holder in due course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and took the note subject to the maker’s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fenses against the payees of fraudulent induce-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 and lack of consideration. The assign-</w:t>
      </w:r>
    </w:p>
    <w:p>
      <w:pPr>
        <w:spacing w:before="0" w:line="259" w:lineRule="exact"/>
        <w:ind w:left="898" w:right="46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ment by allonge was ineffective as 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indorsement, where there was sufficient space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on the note itself for the payees’ indorsement.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10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Counsel: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Howser, Gertner &amp; Brown and Da-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vid L. Sanner for Defendant and Appellant.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85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Stephen D. Johnson for Plaintiff and Respon-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dent.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Judges: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Opinion by Morris, J., with Kaufman,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Acting P. J., and Garst, J.,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superscript"/>
        </w:rPr>
        <w:t xml:space="preserve"> *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concurring.</w:t>
      </w:r>
    </w:p>
    <w:p>
      <w:pPr>
        <w:spacing w:before="245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Opinion by: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MORRIS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66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Opinion</w:t>
      </w:r>
    </w:p>
    <w:p>
      <w:pPr>
        <w:spacing w:before="186" w:line="259" w:lineRule="exact"/>
        <w:ind w:left="898" w:right="0" w:firstLine="7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[*1005] 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[**747]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Defendant appeals from a 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judgment enjoining the foreclosure of a trust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deed on plaintiff’s house, and ordering the can-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cellation of a promissory note signed by plain-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tiff. Judgment was entered against defendant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after the trial court concluded that he was not a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holder in due course.</w:t>
      </w:r>
    </w:p>
    <w:p>
      <w:pPr>
        <w:spacing w:before="246" w:line="276" w:lineRule="exact"/>
        <w:ind w:left="898"/>
        <w:jc w:val="left"/>
        <w:rPr>
          <w:rFonts w:ascii="Times New Roman Italic" w:hAnsi="Times New Roman Italic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Facts</w:t>
      </w:r>
    </w:p>
    <w:p>
      <w:pPr>
        <w:spacing w:before="20" w:line="230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747, **747; 1981 Cal. App. LEXIS 1724, ***1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123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Charles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Pribus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the son of Helen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Pribus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(plain-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tiff), owed $ 126,500 to Ford and Mary Wil-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liams. At Charles’ request, plaintiff executed a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promissory note for $ 126,500 and a trust</w:t>
      </w:r>
    </w:p>
    <w:p>
      <w:pPr>
        <w:spacing w:before="0" w:line="259" w:lineRule="exact"/>
        <w:ind w:left="123" w:right="88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deed on plaintiff’s house to secure the note,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both in favor of the Williams. Charles deliv-</w:t>
      </w:r>
    </w:p>
    <w:p>
      <w:pPr>
        <w:spacing w:before="0" w:line="259" w:lineRule="exact"/>
        <w:ind w:left="123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ered the trust deed to Ford Williams, who caused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it to be recorded. The note was never deliv-</w:t>
      </w:r>
    </w:p>
    <w:p>
      <w:pPr>
        <w:spacing w:before="1" w:line="259" w:lineRule="exact"/>
        <w:ind w:left="123" w:right="693"/>
        <w:jc w:val="both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ered. Ford Williams then induced the plaintiff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to  execute  a  second  promissory  note  for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$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126,500, the subject of this appeal. </w:t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[***2]</w:t>
      </w:r>
    </w:p>
    <w:p>
      <w:pPr>
        <w:spacing w:before="0" w:line="259" w:lineRule="exact"/>
        <w:ind w:left="123" w:right="66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trial court made the finding, which is not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now challenged, that this note was executed 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false representation by Williams that he</w:t>
      </w:r>
    </w:p>
    <w:p>
      <w:pPr>
        <w:spacing w:before="0" w:line="259" w:lineRule="exact"/>
        <w:ind w:left="123" w:right="64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would hold the note and would make no use of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it. The court also made the uncontroverted find-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ing that plaintiff received no consideration for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note.</w:t>
      </w:r>
    </w:p>
    <w:p>
      <w:pPr>
        <w:spacing w:before="170" w:line="259" w:lineRule="exact"/>
        <w:ind w:left="123" w:right="66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Within a few months, Williams bought from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Philip Bush (defendant) an option to purchase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Bush’s contractual rights to buy </w:t>
      </w:r>
      <w:r>
        <w:rPr>
          <w:rFonts w:ascii="Times New Roman Bold" w:hAnsi="Times New Roman Bold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[**748]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  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apartment complex in Texas. As part of Wil-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liams’ written agreement with defendant Bush,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Williams assigned the trust deed on plain-</w:t>
      </w:r>
    </w:p>
    <w:p>
      <w:pPr>
        <w:spacing w:before="0" w:line="259" w:lineRule="exact"/>
        <w:ind w:left="123" w:right="705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tiff’s house to defendant and transferred to de-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fendant the promissory note which Williams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had induced plaintiff to execute. Stapled to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note was a paper, signed by Ford and Mary</w:t>
      </w:r>
    </w:p>
    <w:p>
      <w:pPr>
        <w:spacing w:before="0" w:line="259" w:lineRule="exact"/>
        <w:ind w:left="123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Williams, which stated: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For a valuable consid-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eration, the receipt and sufficiency of which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is hereby acknowledged, the undersigned do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hereby assign the attached Note to Phillip L.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Bush.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There was sufficient space on the</w:t>
      </w:r>
    </w:p>
    <w:p>
      <w:pPr>
        <w:spacing w:before="0" w:line="259" w:lineRule="exact"/>
        <w:ind w:left="123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note itself to write an indorsement in the words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that were written on the paper stapled to the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note.</w:t>
      </w:r>
    </w:p>
    <w:p>
      <w:pPr>
        <w:spacing w:before="170" w:line="259" w:lineRule="exact"/>
        <w:ind w:left="123" w:right="675"/>
        <w:jc w:val="left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After an unsuccessful effort to collect on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promissory note, defendant filed a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Notice of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Breach and Default and of Election to Cause</w:t>
      </w:r>
    </w:p>
    <w:p>
      <w:pPr>
        <w:spacing w:before="0" w:line="259" w:lineRule="exact"/>
        <w:ind w:left="123" w:right="819" w:firstLine="79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[***3]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Sale of Real Property Under Deed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Trust.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Plaintiff responded by initiating the</w:t>
      </w:r>
    </w:p>
    <w:p>
      <w:pPr>
        <w:spacing w:before="0" w:line="259" w:lineRule="exact"/>
        <w:ind w:left="123" w:right="699"/>
        <w:jc w:val="both"/>
        <w:rPr>
          <w:rFonts w:ascii="Symbol" w:hAnsi="Symbol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present action, seeking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cancellation of instru-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ment, declaratory relief, and injunction.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200" w:line="259" w:lineRule="exact"/>
        <w:ind w:left="123" w:right="639" w:firstLine="7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[*1006]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Following a trial on the merits, the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court found for the plaintiff. Although the prom-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issory note was a negotiable instrument pay-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64" w:space="40"/>
            <w:col w:w="5512" w:space="160"/>
          </w:cols>
        </w:sectPr>
      </w:pPr>
    </w:p>
    <w:p>
      <w:pPr>
        <w:spacing w:before="0" w:line="207" w:lineRule="exact"/>
        <w:ind w:left="898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17" w:line="207" w:lineRule="exact"/>
        <w:ind w:left="898" w:firstLine="0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superscript"/>
        </w:rPr>
        <w:t>*</w:t>
      </w: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 xml:space="preserve">   Assigned by the Chairperson of the Judicial Council.</w:t>
      </w:r>
    </w:p>
    <w:p>
      <w:pPr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30" w:lineRule="exact"/>
        <w:ind w:left="898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</w:p>
    <w:p>
      <w:pPr>
        <w:spacing w:before="55" w:line="230" w:lineRule="exact"/>
        <w:ind w:left="898" w:firstLine="4285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Charles Cox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3" style="mso-position-horizontal-relative:page;mso-position-vertical-relative:page;position:absolute;z-index:-251613184" from="66.5pt,552.15pt" to="301pt,552.1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4" style="mso-position-horizontal-relative:page;mso-position-vertical-relative:page;position:absolute;z-index:-251612160" from="300pt,559pt" to="301pt,559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5" style="mso-position-horizontal-relative:page;mso-position-vertical-relative:page;position:absolute;z-index:-251610112" from="66.5pt,565.85pt" to="301pt,565.8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6" style="mso-position-horizontal-relative:page;mso-position-vertical-relative:page;position:absolute;z-index:-251609088" from="66.5pt,559pt" to="67.5pt,559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7" style="mso-position-horizontal-relative:page;mso-position-vertical-relative:page;position:absolute;z-index:-251585536" from="66.5pt,702.25pt" to="545.45pt,702.2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4" w:name="Pg5"/>
      <w:bookmarkEnd w:id="4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>Page 4 of 7</w:t>
      </w:r>
    </w:p>
    <w:p>
      <w:pPr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0" w:line="230" w:lineRule="exact"/>
        <w:ind w:left="1881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118 Cal. App. 3d 1003, *1006; 173 Cal. Rptr.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able to order, the court held that the plaintiff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could assert the defenses of fraudulent induce-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ment and lack of consideration against the de-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 xml:space="preserve">fendant because he was not a holder in due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course.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superscript"/>
        </w:rPr>
        <w:t xml:space="preserve"> 1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The court concluded that the Wil-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liams’ indorsement of the promissory note was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not sufficient for effective negotiation, be-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cause 1) the paper attached to the note was 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effective as an indorsement because there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was sufficient space to write the indorsement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the note itself, and 2) the Williams retained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 interest in the note. Judgment was entered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ordering the cancellation of the promissory note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and enjoining the defendant from foreclosing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on the trust deed. This appeal followed.</w:t>
      </w:r>
    </w:p>
    <w:p>
      <w:pPr>
        <w:spacing w:before="246" w:line="276" w:lineRule="exact"/>
        <w:ind w:left="978"/>
        <w:jc w:val="left"/>
        <w:rPr>
          <w:rFonts w:ascii="Times New Roman Italic" w:hAnsi="Times New Roman Italic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[***4]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Discussion</w:t>
      </w:r>
    </w:p>
    <w:p>
      <w:pPr>
        <w:spacing w:before="198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HN1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California Uniform Commercial Code sec-</w:t>
        <w:br/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tion 3302, subdivision (1)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provides,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superscript"/>
        </w:rPr>
        <w:t xml:space="preserve"> 2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</w:t>
      </w:r>
    </w:p>
    <w:p>
      <w:pPr>
        <w:spacing w:before="0" w:line="259" w:lineRule="exact"/>
        <w:ind w:left="898" w:right="0" w:firstLine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holder in due course is a holder who takes the 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strument a) For value; and (b) In good faith;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and (c) Without notice that it is overdue or has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been dishonored or of any defense against or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claim to it on the part of any person.</w:t>
      </w:r>
      <w:r>
        <w:rPr>
          <w:rFonts w:ascii="Symbol" w:hAnsi="Symbol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In the pres-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ent case, the trial court did not question defen-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dant’s status as a holder in due course be-</w:t>
      </w:r>
    </w:p>
    <w:p>
      <w:pPr>
        <w:spacing w:before="20" w:line="230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747, **748; 1981 Cal. App. LEXIS 1724, ***3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124" w:right="68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cause of any failure to satisfy the value, good 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faith, or no notice requirements. Rather,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court concluded that defendant is not a</w:t>
      </w:r>
    </w:p>
    <w:p>
      <w:pPr>
        <w:spacing w:before="1" w:line="259" w:lineRule="exact"/>
        <w:ind w:left="124" w:right="65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holder in due course because he is not a holder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at all, an essential prerequisite to qualifying</w:t>
      </w:r>
    </w:p>
    <w:p>
      <w:pPr>
        <w:tabs>
          <w:tab w:val="left" w:leader="dot" w:pos="3798"/>
        </w:tabs>
        <w:spacing w:before="1" w:line="259" w:lineRule="exact"/>
        <w:ind w:left="124" w:right="644" w:firstLine="0"/>
        <w:jc w:val="both"/>
        <w:rPr>
          <w:rFonts w:ascii="Times New Roman Italic" w:hAnsi="Times New Roman Italic"/>
          <w:color w:val="0000FF"/>
          <w:spacing w:val="0"/>
          <w:w w:val="103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as a holder in due course.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HN2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A holder is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 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person who is in possession of . . . an instru-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ment . . ., issued or indorsed to him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ab/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§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1201, subd. (20)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 The trial court ruled that the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Williams’ signature on the paper attached to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 promissory note did not qualify as an in-</w:t>
      </w:r>
    </w:p>
    <w:p>
      <w:pPr>
        <w:tabs>
          <w:tab w:val="left" w:pos="2279"/>
        </w:tabs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7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dorsement because</w:t>
        <w:tab/>
      </w:r>
      <w:r>
        <w:rPr>
          <w:rFonts w:ascii="Times New Roman Bold" w:hAnsi="Times New Roman Bold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[*1007]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  there was ad-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equate space for the indorsement on the note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itself.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superscript"/>
        </w:rPr>
        <w:t xml:space="preserve"> 3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We affirm the judgment.</w:t>
      </w:r>
    </w:p>
    <w:p>
      <w:pPr>
        <w:spacing w:before="186" w:line="276" w:lineRule="exact"/>
        <w:ind w:left="204"/>
        <w:jc w:val="left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[**749]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HN3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3202, subdivision (2)</w:t>
      </w:r>
    </w:p>
    <w:p>
      <w:pPr>
        <w:spacing w:before="1" w:line="255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states,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 indorsement must be written by or</w:t>
      </w:r>
    </w:p>
    <w:p>
      <w:pPr>
        <w:spacing w:before="2" w:line="259" w:lineRule="exact"/>
        <w:ind w:left="124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on behalf of the holder and on the instrument or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on a paper so firmly affixed thereto as to be-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come a part thereof.</w:t>
      </w:r>
      <w:r>
        <w:rPr>
          <w:rFonts w:ascii="Symbol" w:hAnsi="Symbol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Thus, the code does not say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whether or not such a paper, called an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allonge,</w:t>
      </w: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[***6]  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may be used when there is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still room for an indorsement on the instru-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ment itself. Nor has any reported California case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dealt with this issue under the code.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superscript"/>
        </w:rPr>
        <w:t xml:space="preserve"> 4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The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code does, however, instruct us as to where to</w:t>
      </w:r>
    </w:p>
    <w:p>
      <w:pPr>
        <w:spacing w:before="1" w:line="259" w:lineRule="exact"/>
        <w:ind w:left="12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look for the law with which to resolve the is-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63" w:space="40"/>
            <w:col w:w="5513" w:space="160"/>
          </w:cols>
        </w:sectPr>
      </w:pPr>
    </w:p>
    <w:p>
      <w:pPr>
        <w:spacing w:before="0" w:line="195" w:lineRule="exact"/>
        <w:ind w:left="898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0" w:line="195" w:lineRule="exact"/>
        <w:ind w:left="898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tabs>
          <w:tab w:val="left" w:pos="1148"/>
        </w:tabs>
        <w:spacing w:before="37" w:line="195" w:lineRule="exact"/>
        <w:ind w:left="898" w:firstLine="0"/>
        <w:rPr>
          <w:rFonts w:ascii="Times New Roman" w:hAnsi="Times New Roman"/>
          <w:color w:val="000000"/>
          <w:spacing w:val="0"/>
          <w:w w:val="100"/>
          <w:position w:val="-3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1</w:t>
        <w:tab/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California Uniform Commercial Code section 3305</w:t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 xml:space="preserve"> provides, in part:</w:t>
      </w:r>
      <w:r>
        <w:rPr>
          <w:rFonts w:ascii="Symbol" w:hAnsi="Symbol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To the extent that a holder is a holder in due course he</w:t>
      </w:r>
    </w:p>
    <w:p>
      <w:pPr>
        <w:rPr>
          <w:rFonts w:ascii="Times New Roman" w:hAnsi="Times New Roman"/>
          <w:color w:val="000000"/>
          <w:spacing w:val="0"/>
          <w:w w:val="100"/>
          <w:position w:val="-3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1" w:line="207" w:lineRule="exact"/>
        <w:ind w:left="898" w:firstLine="0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takes the instrument free from</w:t>
      </w:r>
    </w:p>
    <w:p>
      <w:pPr>
        <w:tabs>
          <w:tab w:val="left" w:leader="dot" w:pos="1331"/>
        </w:tabs>
        <w:spacing w:before="96" w:line="207" w:lineRule="exact"/>
        <w:ind w:left="898"/>
        <w:jc w:val="left"/>
        <w:rPr>
          <w:rFonts w:ascii="Symbol" w:hAnsi="Symbol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Symbol" w:hAnsi="Symbol"/>
          <w:color w:val="000000"/>
          <w:spacing w:val="-2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ab/>
        <w:t xml:space="preserve"> </w:t>
      </w:r>
    </w:p>
    <w:p>
      <w:pPr>
        <w:spacing w:before="119" w:line="200" w:lineRule="exact"/>
        <w:ind w:left="898" w:right="935"/>
        <w:jc w:val="both"/>
        <w:rPr>
          <w:rFonts w:ascii="Symbol" w:hAnsi="Symbol"/>
          <w:color w:val="000000"/>
          <w:spacing w:val="0"/>
          <w:w w:val="102"/>
          <w:position w:val="0"/>
          <w:sz w:val="18"/>
          <w:u w:val="none"/>
          <w:vertAlign w:val="baseline"/>
        </w:rPr>
      </w:pP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(2) All defenses of any party to the instrument with whom the holder has not dealt except [certain defenses that are not appli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cable in this case].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0020"/>
      </w:r>
    </w:p>
    <w:p>
      <w:pPr>
        <w:tabs>
          <w:tab w:val="left" w:leader="dot" w:pos="1331"/>
        </w:tabs>
        <w:spacing w:before="21" w:line="320" w:lineRule="exact"/>
        <w:ind w:left="898" w:right="1070"/>
        <w:jc w:val="both"/>
        <w:rPr>
          <w:rFonts w:ascii="Symbol" w:hAnsi="Symbol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Section 3306 provides, in part: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Unless he has the rights of a holder in due course any person takes the instrument subject to </w:t>
        <w:br/>
      </w:r>
      <w:r>
        <w:rPr>
          <w:rFonts w:ascii="Symbol" w:hAnsi="Symbol"/>
          <w:color w:val="000000"/>
          <w:spacing w:val="-2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ab/>
        <w:t xml:space="preserve"> </w:t>
      </w:r>
    </w:p>
    <w:p>
      <w:pPr>
        <w:spacing w:before="0" w:line="320" w:lineRule="exact"/>
        <w:ind w:left="898" w:right="3319"/>
        <w:jc w:val="both"/>
        <w:rPr>
          <w:rFonts w:ascii="Symbol" w:hAnsi="Symbol"/>
          <w:color w:val="000000"/>
          <w:spacing w:val="0"/>
          <w:w w:val="102"/>
          <w:position w:val="0"/>
          <w:sz w:val="18"/>
          <w:u w:val="none"/>
          <w:vertAlign w:val="baseline"/>
        </w:rPr>
      </w:pP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(b) All defenses of any party which would be available in an action on a simple contract; and 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(c) The defenses of want or failure of consideration (Section 3408), . . .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</w:p>
    <w:p>
      <w:pPr>
        <w:rPr>
          <w:rFonts w:ascii="Symbol" w:hAnsi="Symbol"/>
          <w:color w:val="000000"/>
          <w:spacing w:val="0"/>
          <w:w w:val="102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88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2</w:t>
      </w:r>
    </w:p>
    <w:p>
      <w:pPr>
        <w:spacing w:before="0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</w:p>
    <w:p>
      <w:pPr>
        <w:spacing w:before="43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3</w:t>
      </w:r>
    </w:p>
    <w:p>
      <w:pPr>
        <w:spacing w:before="12" w:line="319" w:lineRule="exact"/>
        <w:ind w:left="20" w:right="676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All references are to the California Uniform Commercial Code, unless otherwise stated.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The court held the signature ineffective as an indorsement on the alternative ground that the Williams did not transfer their en-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0" w:line="200" w:lineRule="exact"/>
        <w:ind w:left="898" w:right="825"/>
        <w:jc w:val="both"/>
        <w:rPr>
          <w:rFonts w:ascii="Symbol" w:hAnsi="Symbol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tire interest in the note to defendant.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Section 3202, subdivision (3)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provides,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An indorsement is effective for negotiation only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when it conveys the entire instrument or any unpaid residue. If it purports to be of less it operates only as a partial assignment.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0020"/>
      </w:r>
    </w:p>
    <w:p>
      <w:pPr>
        <w:spacing w:before="89" w:line="200" w:lineRule="exact"/>
        <w:ind w:left="898" w:right="733" w:firstLine="0"/>
        <w:jc w:val="both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The Williams’ assignment did not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purport to be of less.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However, there was parol evidence that the Williams were to be paid any 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excess collected on the note over and above $ 105,000. </w:t>
      </w:r>
    </w:p>
    <w:p>
      <w:pPr>
        <w:spacing w:before="120" w:line="200" w:lineRule="exact"/>
        <w:ind w:left="898" w:right="734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Since we uphold the trial court’s determination that the attached signature did not qualify as an indorsement, it is unnecessary for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us to consider the competency or sufficiency of the evidence to support the finding that there was a partial assignment.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4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4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30" w:line="144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The few California cases which have cited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section 3202, subdivision (2)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 have involved negotiable instruments which were not in-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3" w:line="200" w:lineRule="exact"/>
        <w:ind w:left="898" w:right="807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dorsed on the instruments or on an attached paper, but were transferred by a separate document. The transferees in those cases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were, therefore, not holders.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Security Pacific Nat. Bank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Chess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(1976) 58 Cal.App.3d 555, 562 [129 Cal.Rptr. 852]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Wright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Bank of California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(1969) 276 Cal.App.2d 485, 490 [81 Cal.Rptr. 11]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Lopez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Puzina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(1966) 239 Cal.App.2d 708 [49 Cal-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>.Rptr. 122, 19 A.L.R.3d 1291]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.)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</w:p>
    <w:p>
      <w:pPr>
        <w:spacing w:before="66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8" style="mso-position-horizontal-relative:page;mso-position-vertical-relative:page;position:absolute;z-index:-251587584" from="66.5pt,426.45pt" to="545.45pt,426.4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5" w:name="Pg6"/>
      <w:bookmarkEnd w:id="5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>Page 5 of 7</w:t>
      </w:r>
    </w:p>
    <w:p>
      <w:pPr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0" w:line="230" w:lineRule="exact"/>
        <w:ind w:left="1881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118 Cal. App. 3d 1003, *1007; 173 Cal. Rptr.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sue.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HN4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Section 1103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states that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[unless] dis-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placed by the particular provisions of this</w:t>
      </w:r>
    </w:p>
    <w:p>
      <w:pPr>
        <w:spacing w:before="0" w:line="259" w:lineRule="exact"/>
        <w:ind w:left="898" w:right="0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code, the principles of law and equity, includ-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ing the law merchant . . . shall supplement its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provisions,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and that section’s Uniform Com-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mercial Code comment notes</w:t>
      </w:r>
      <w:r>
        <w:rPr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continued ap-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plicability to commercial contracts of all</w:t>
      </w:r>
    </w:p>
    <w:p>
      <w:pPr>
        <w:spacing w:before="0" w:line="259" w:lineRule="exact"/>
        <w:ind w:left="898" w:right="0" w:firstLine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supplemental bodies of law except insofar as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they are explicitly displaced by this Act.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There-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fore, since the Commercial Code has not ad-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dressed the issue, we decide the present case ac-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cording to the rules on allonges of the law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merchant.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superscript"/>
        </w:rPr>
        <w:t xml:space="preserve"> 5</w:t>
      </w:r>
    </w:p>
    <w:p>
      <w:pPr>
        <w:spacing w:before="200" w:line="259" w:lineRule="exact"/>
        <w:ind w:left="898" w:right="14" w:firstLine="79"/>
        <w:jc w:val="left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[*1008]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Although the cases are not unani-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mous, the majority view is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HN5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that the law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merchant permits the use of an allonge only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12"/>
          <w:position w:val="0"/>
          <w:sz w:val="24"/>
          <w:szCs w:val="24"/>
          <w:u w:val="none"/>
          <w:vertAlign w:val="baseline"/>
        </w:rPr>
        <w:t>when there is no longer room on the nego-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tiable instrument itself to write an indorse-</w:t>
      </w:r>
    </w:p>
    <w:p>
      <w:pPr>
        <w:spacing w:before="1" w:line="259" w:lineRule="exact"/>
        <w:ind w:left="898" w:right="0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ment. (See generally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Annot., Indorsement of Ne-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gotiable Instrument By Writing Not On</w:t>
      </w:r>
    </w:p>
    <w:p>
      <w:pPr>
        <w:spacing w:before="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Instrument Itself (1968) 19 A.L.R.3d 1297,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1301-1304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[***8]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Annot., Indorsement of Bill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or Note by Writing Not On Instrument Itself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(1928) 56 A.L.R. 921, 924-926.) Typical of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majority position is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Bishop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Chase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(1900)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156 Mo. 158 [56 S.W. 1080]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 There it was held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HN6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the general rule is that an instru-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ment could be indorsed only by writing on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instrument itself, but that an exception to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rule allows the use of an attached paper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when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back of the instrument is so covered as to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make it necessary.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Id</w:t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., 56 S.W. at p. 1083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.)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Thus, the court invalidated an attempted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dorsement by allonge when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there was plenty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room upon the back of the note to have made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indorsement, and the only excuse for not</w:t>
      </w:r>
    </w:p>
    <w:p>
      <w:pPr>
        <w:spacing w:before="20" w:line="230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747, **749; 1981 Cal. App. LEXIS 1724, ***9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124" w:right="639"/>
        <w:jc w:val="both"/>
        <w:rPr>
          <w:rFonts w:ascii="Times New Roman" w:hAnsi="Times New Roman"/>
          <w:color w:val="0000FF"/>
          <w:spacing w:val="0"/>
          <w:w w:val="101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doing so was that it was more convenient to as-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sign it on a separate paper.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Id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., 56 S.W. at</w:t>
      </w:r>
    </w:p>
    <w:p>
      <w:pPr>
        <w:spacing w:before="0" w:line="259" w:lineRule="exact"/>
        <w:ind w:left="124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superscript"/>
        </w:rPr>
      </w:pP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>p. 1084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superscript"/>
        </w:rPr>
        <w:t xml:space="preserve"> 6</w:t>
      </w:r>
    </w:p>
    <w:p>
      <w:pPr>
        <w:spacing w:before="200" w:line="259" w:lineRule="exact"/>
        <w:ind w:left="124" w:right="639" w:firstLine="7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[***9]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As the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Bishop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case indicates, the law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merchant rule on allonges was developed as a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finement of the basic rule that an indorsement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must be on the instrument itself. This basic rule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must have become impractical when strictly ap-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plied in certain multiple indorsement situa-</w:t>
      </w:r>
    </w:p>
    <w:p>
      <w:pPr>
        <w:spacing w:before="1" w:line="259" w:lineRule="exact"/>
        <w:ind w:left="124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tions, due to the finite amount of space on any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given instrument. The allonge, then, was ap-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parently created to remedy the inconveniences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of the basic rule, not as an alternative method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indorsement. Support for this analysis is</w:t>
      </w:r>
    </w:p>
    <w:p>
      <w:pPr>
        <w:spacing w:before="0" w:line="259" w:lineRule="exact"/>
        <w:ind w:left="124" w:right="75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found in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Folger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Chase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(1836) 35 Mass. (18 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Pick.) 63.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[**750]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There, the Massachu-</w:t>
      </w:r>
    </w:p>
    <w:p>
      <w:pPr>
        <w:spacing w:before="1" w:line="259" w:lineRule="exact"/>
        <w:ind w:left="124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setts Supreme Court dealt with an allonge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dorsement as a case of first impression. The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dorsement had been made on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paper</w:t>
      </w:r>
    </w:p>
    <w:p>
      <w:pPr>
        <w:spacing w:before="0" w:line="259" w:lineRule="exact"/>
        <w:ind w:left="124" w:right="639" w:firstLine="0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attached to the back of the note by a wafer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be-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cause the back of the note was covered with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previous endorsements. The defendants, citing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the basic rule, contended that no indorsement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had been made. The court disagreed.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ob-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jection is, that such an indorsement is not sanc-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tioned by custom; but we think it is supported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by the reasons on which the custom was origi-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nally founded. Bills of exchange and promis-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sory notes were indorsed on the back of the bills</w:t>
      </w:r>
    </w:p>
    <w:p>
      <w:pPr>
        <w:spacing w:before="0" w:line="259" w:lineRule="exact"/>
        <w:ind w:left="124" w:right="640" w:firstLine="7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[***10]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 and notes, because it was a conve-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nient 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[*1009]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mode of making the transfer, and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in order that the evidence thereof might accom-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pany the note. Such an indorsement as this</w:t>
      </w:r>
    </w:p>
    <w:p>
      <w:pPr>
        <w:spacing w:before="0" w:line="259" w:lineRule="exact"/>
        <w:ind w:left="124" w:right="714"/>
        <w:jc w:val="both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will rarely happen, and no authority to support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it could reasonably be expected; but there is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no authority against it.</w:t>
      </w:r>
      <w:r>
        <w:rPr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Id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., at p. 67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superscript"/>
        </w:rPr>
        <w:t xml:space="preserve"> 7 </w:t>
      </w:r>
    </w:p>
    <w:p>
      <w:pPr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superscript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63" w:space="40"/>
            <w:col w:w="5513" w:space="160"/>
          </w:cols>
        </w:sect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superscript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superscript"/>
        </w:rPr>
      </w:pPr>
    </w:p>
    <w:p>
      <w:pPr>
        <w:tabs>
          <w:tab w:val="left" w:pos="1148"/>
        </w:tabs>
        <w:spacing w:before="57" w:line="207" w:lineRule="exact"/>
        <w:ind w:left="898"/>
        <w:jc w:val="left"/>
        <w:rPr>
          <w:rFonts w:ascii="Times New Roman" w:hAnsi="Times New Roman"/>
          <w:color w:val="0000FF"/>
          <w:spacing w:val="0"/>
          <w:w w:val="100"/>
          <w:position w:val="-3"/>
          <w:sz w:val="18"/>
          <w:u w:val="singl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2"/>
          <w:sz w:val="12"/>
          <w:szCs w:val="24"/>
          <w:u w:val="none"/>
          <w:vertAlign w:val="baseline"/>
        </w:rPr>
        <w:t xml:space="preserve">5 </w:t>
        <w:tab/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An excellent discussion of the history and development of the law merchant appears in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Bank of Conway</w:t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 Stary</w:t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 (1924) 51 </w:t>
      </w:r>
    </w:p>
    <w:p>
      <w:pPr>
        <w:spacing w:before="39" w:line="200" w:lineRule="exact"/>
        <w:ind w:left="898" w:right="734"/>
        <w:jc w:val="left"/>
        <w:rPr>
          <w:rFonts w:ascii="Times New Roman" w:hAnsi="Times New Roman"/>
          <w:color w:val="000000"/>
          <w:spacing w:val="0"/>
          <w:w w:val="102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>N.D. 399 [200 N.W. 505, 508-509, 37 A.L.R. 1186]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. The law merchant is there defined as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a system of law that does not rest ex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clusively on the institutions and local customs of any particular country, but consists of certain principles of equity and usages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of trade which general convenience and a common sense of justice have established to regulate the dealings of merchants and mari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ners in all the commercial countries of the civilized world. [Citations.] . . . ’This lex mercatoria or common law of merchants is 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of more universal authority than the common law of England.’ [Citation.]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18"/>
          <w:szCs w:val="24"/>
          <w:u w:val="single"/>
          <w:vertAlign w:val="baseline"/>
        </w:rPr>
        <w:t xml:space="preserve"> Id</w:t>
      </w:r>
      <w:r>
        <w:rPr>
          <w:rFonts w:ascii="Times New Roman" w:hAnsi="Times New Roman"/>
          <w:color w:val="0000FF"/>
          <w:spacing w:val="0"/>
          <w:w w:val="102"/>
          <w:position w:val="0"/>
          <w:sz w:val="18"/>
          <w:szCs w:val="24"/>
          <w:u w:val="single"/>
          <w:vertAlign w:val="baseline"/>
        </w:rPr>
        <w:t xml:space="preserve"> ., 200 N.W. at p. 508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.)</w:t>
      </w:r>
    </w:p>
    <w:p>
      <w:pPr>
        <w:rPr>
          <w:rFonts w:ascii="Times New Roman" w:hAnsi="Times New Roman"/>
          <w:color w:val="000000"/>
          <w:spacing w:val="0"/>
          <w:w w:val="102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6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6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31" w:line="144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While not determinative of this case, it is interesting to note that the dictionaries support the majority position. Black’s Law Dic-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2" w:line="200" w:lineRule="exact"/>
        <w:ind w:left="898" w:right="734" w:firstLine="0"/>
        <w:jc w:val="left"/>
        <w:rPr>
          <w:rFonts w:ascii="Symbol" w:hAnsi="Symbol"/>
          <w:color w:val="000000"/>
          <w:spacing w:val="-2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tionary (4th ed. 1951) page 100, defines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allonge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as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[a] piece of paper annexed to a bill of exchange or promissory note, 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which to write endorsements for which there is no room on the instrument itself.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Webster’s Third New International Dictionary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(1964) page 57, gives a similar definition: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a slip of paper attached to a bill of exchange or similar document to provide space for </w:t>
      </w:r>
      <w:r>
        <w:rPr>
          <w:rFonts w:ascii="Times New Roman" w:hAnsi="Times New Roman"/>
          <w:color w:val="000000"/>
          <w:spacing w:val="-2"/>
          <w:w w:val="100"/>
          <w:position w:val="0"/>
          <w:sz w:val="18"/>
          <w:szCs w:val="24"/>
          <w:u w:val="none"/>
          <w:vertAlign w:val="baseline"/>
        </w:rPr>
        <w:t>additional endorsements.</w:t>
      </w:r>
      <w:r>
        <w:rPr>
          <w:rFonts w:ascii="Symbol" w:hAnsi="Symbol"/>
          <w:color w:val="000000"/>
          <w:spacing w:val="-2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</w:p>
    <w:p>
      <w:pPr>
        <w:rPr>
          <w:rFonts w:ascii="Symbol" w:hAnsi="Symbol"/>
          <w:color w:val="000000"/>
          <w:spacing w:val="-2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3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7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29" w:line="144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We believe that inherent in the rationale underlying the majority rule is the concern for preventing fraud. An allonge, even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4" w:line="200" w:lineRule="exact"/>
        <w:ind w:left="898" w:right="733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though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so firmly affixed . . . as to become a part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of the instrument, may be detached more easily than an indorsement on the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strument itself may be removed. Additionally, a person’s signature, innocently made upon an innocuous piece of paper, could be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</w:p>
    <w:p>
      <w:pPr>
        <w:spacing w:before="66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9" style="mso-position-horizontal-relative:page;mso-position-vertical-relative:page;position:absolute;z-index:-251579392" from="66.5pt,560.15pt" to="545.45pt,560.1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6" w:name="Pg7"/>
      <w:bookmarkEnd w:id="6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>Page 6 of 7</w:t>
      </w:r>
    </w:p>
    <w:p>
      <w:pPr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20" w:line="230" w:lineRule="exact"/>
        <w:ind w:left="1831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118 Cal. App. 3d 1003, *1009; 173 Cal. Rptr.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31" w:line="259" w:lineRule="exact"/>
        <w:ind w:left="898" w:right="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minority position is best expressed in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Crosby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Roub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(1863) 16 Wis. 616, 626-628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superscript"/>
        </w:rPr>
        <w:t xml:space="preserve"> 8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There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[***11]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it was said that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usual rea-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son stated for using [an allonge] is, that there is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 longer room on the note to make the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dorsement. But this does not mean that there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must be an actual physical impossibility to write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indorser’s name on the original paper. 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contrary, the usage of the mercantile law is,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as Chief Justice Marshall says, ’founded in con-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venience.’ And all that its spirit or its letter re-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quires is, that when it is inconvenient to write on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back of the note the real contract between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the vendor and the vendee, which, if so writ-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ten, would pass the title, it may be written on 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another paper and attached to it with like ef-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fect.</w:t>
      </w:r>
      <w:r>
        <w:rPr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Id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., at p. 626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superscript"/>
        </w:rPr>
        <w:t xml:space="preserve"> 9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The</w:t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Crosby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case was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considered, but rejected, in a number of major-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ity jurisdictions. (See, e.g.,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Bishop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Chase,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56 S.W. at pp. 1083-1084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Doll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Hol-</w:t>
        <w:br/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lenback 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(1886)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19  Neb.  639  [28  N.W.  286, </w:t>
        <w:br/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288]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00" w:line="259" w:lineRule="exact"/>
        <w:ind w:left="898" w:right="0" w:firstLine="7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[*1010]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The majority view interpretation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law merchant rule of allonges was adopted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statutorily in California. When the Civil</w:t>
      </w:r>
    </w:p>
    <w:p>
      <w:pPr>
        <w:spacing w:before="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Code was enacted in 1872, it contained these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two provisions: 1) section 3109 --</w:t>
      </w:r>
      <w:r>
        <w:rPr>
          <w:rFonts w:ascii="Symbol" w:hAnsi="Symbol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One who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agrees to indorse a negotiable instrument is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bound to write his signature upon the back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instrument, if there is sufficient space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thereon for that purpose,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and 2) section 3110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--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When there is not room for a signature upon</w:t>
      </w:r>
    </w:p>
    <w:p>
      <w:pPr>
        <w:spacing w:before="20" w:line="230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747, **750; 1981 Cal. App. LEXIS 1724, ***10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tabs>
          <w:tab w:val="left" w:pos="263"/>
        </w:tabs>
        <w:spacing w:before="31" w:line="259" w:lineRule="exact"/>
        <w:ind w:left="173" w:right="639"/>
        <w:jc w:val="both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back of a negotiable instrument, a signature </w:t>
        <w:br/>
        <w:tab/>
      </w: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[***13]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 equivalent to an indorsement</w:t>
      </w:r>
    </w:p>
    <w:p>
      <w:pPr>
        <w:spacing w:before="0" w:line="259" w:lineRule="exact"/>
        <w:ind w:left="173" w:right="1011"/>
        <w:jc w:val="both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thereof may be made upon a paper annexed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thereto.</w:t>
      </w:r>
      <w:r>
        <w:rPr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superscript"/>
        </w:rPr>
        <w:t xml:space="preserve"> 10</w:t>
      </w:r>
    </w:p>
    <w:p>
      <w:pPr>
        <w:spacing w:before="200" w:line="259" w:lineRule="exact"/>
        <w:ind w:left="173" w:right="656" w:firstLine="7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[**751]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These Civil Code sections were in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force for 45 years until California adopted the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Uniform Negotiable Instruments Act. The act,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like its successor, the Uniform Commercial</w:t>
      </w:r>
    </w:p>
    <w:p>
      <w:pPr>
        <w:spacing w:before="0" w:line="259" w:lineRule="exact"/>
        <w:ind w:left="173" w:right="655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Code, did not state whether or not an allonge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could be used when there was still room for 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indorsement on the instrument itself. Section</w:t>
      </w:r>
    </w:p>
    <w:p>
      <w:pPr>
        <w:spacing w:before="1" w:line="259" w:lineRule="exact"/>
        <w:ind w:left="173" w:right="690"/>
        <w:jc w:val="both"/>
        <w:rPr>
          <w:rFonts w:ascii="Times New Roman Bold" w:hAnsi="Times New Roman Bold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31 of the act (former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3112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) stated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 part,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indorsement must be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[***14]</w:t>
      </w:r>
    </w:p>
    <w:p>
      <w:pPr>
        <w:spacing w:before="1" w:line="259" w:lineRule="exact"/>
        <w:ind w:left="173" w:right="64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written on the instrument itself or upon a paper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attached thereto.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(Stats. 1917, ch. 751, § 1,</w:t>
      </w:r>
    </w:p>
    <w:p>
      <w:pPr>
        <w:spacing w:before="0" w:line="259" w:lineRule="exact"/>
        <w:ind w:left="173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p. 1538.) However, also like the Uniform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mercial Code, the Uniform Negotiable Instru-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ments Act intended prior law not in conflict with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act to supplement the act. Former Civil</w:t>
      </w:r>
    </w:p>
    <w:p>
      <w:pPr>
        <w:spacing w:before="0" w:line="259" w:lineRule="exact"/>
        <w:ind w:left="173" w:right="656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Code section 3266d stated in part,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In any case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 provided for in this title the rules of the</w:t>
      </w:r>
    </w:p>
    <w:p>
      <w:pPr>
        <w:spacing w:before="0" w:line="259" w:lineRule="exact"/>
        <w:ind w:left="173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law merchant shall govern.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(Stats. 1921, ch.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194, § 12, p. 215.) Thus, it has been held that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act was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but a statutory affirmation of the</w:t>
      </w:r>
    </w:p>
    <w:p>
      <w:pPr>
        <w:spacing w:before="0" w:line="259" w:lineRule="exact"/>
        <w:ind w:left="173" w:right="639"/>
        <w:jc w:val="left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rule of the old law merchant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that an allonge </w:t>
        <w:br/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was allowable only when the back of the instru-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 itself was so covered with previous en-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dorsements that convenience or necessity re-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quired additional space for further endorsements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Clark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Thompson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(1915) 194 Ala. 504 [69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So. 925, 926]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 see also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Plattsmouth State Bank</w:t>
      </w:r>
    </w:p>
    <w:p>
      <w:pPr>
        <w:spacing w:before="0" w:line="259" w:lineRule="exact"/>
        <w:ind w:left="173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Redding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(1935) 128 Neb. 268 [258 N.W. </w:t>
      </w:r>
    </w:p>
    <w:p>
      <w:pPr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14" w:space="40"/>
            <w:col w:w="5562" w:space="160"/>
          </w:cols>
        </w:sectPr>
      </w:pPr>
    </w:p>
    <w:p>
      <w:pPr>
        <w:spacing w:before="0" w:line="200" w:lineRule="exact"/>
        <w:ind w:left="898"/>
        <w:jc w:val="both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</w:p>
    <w:p>
      <w:pPr>
        <w:spacing w:before="0" w:line="200" w:lineRule="exact"/>
        <w:ind w:left="898"/>
        <w:jc w:val="both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</w:p>
    <w:p>
      <w:pPr>
        <w:spacing w:before="35" w:line="200" w:lineRule="exact"/>
        <w:ind w:left="898" w:right="782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fraudulently attached to a negotiable instrument as a purported indorsement. The majority rule, while not eliminating these meth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ods of fraud, certainly reduces the opportunities for their use.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10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8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36" w:line="144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Crosby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and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Heister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v.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Gilmore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(Pa. 1862) 5 Phila. 62 are the leading minority cases. However, the current validity of both,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0" w:line="200" w:lineRule="exact"/>
        <w:ind w:left="898" w:right="734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even in their own states, is questionable. In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Bergmann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Puhl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(1928) 195 Wis. 120 [217 N.W. 746, 747-748, 56 A.L.R. 915]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, even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though citing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Crosby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, the Wisconsin Supreme Court stated the majority rule that ’[the] only exception to the rule that an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dorser becomes such only by placing his signature upon the instrument is that where the back of the instrument has been covered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by endorsements or other writing, leaving no room for further endorsements a strip of paper called an ’allonge’ may be at-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tached to the instrument and subsequent endorsements may be written thereon.</w:t>
      </w:r>
      <w:r>
        <w:rPr>
          <w:rFonts w:ascii="Symbol" w:hAnsi="Symbol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And, in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James Talcott, Inc.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v.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Fred Ratowsky As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sociates, Inc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. (1965) 84 Dauph. 258 [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38 Pa. D. &amp; C.2d 624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, 2 U.C.C. R.S. 1134, 1137], a Pennsylvania Court of Common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Pleas expressed doubt about the continued vitality of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Heister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and refused to follow it.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3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9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29" w:line="144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It is debatable whether even the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Crosby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court would have approved the use of an allonge in the present case.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Crosby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does not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18" w:line="180" w:lineRule="exact"/>
        <w:ind w:left="898"/>
        <w:jc w:val="left"/>
        <w:rPr>
          <w:rFonts w:ascii="Times New Roman" w:hAnsi="Times New Roman"/>
          <w:color w:val="000000"/>
          <w:spacing w:val="0"/>
          <w:w w:val="102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state that an allonge can be used unconditionally. Instead, the wording on the allonge had to be such that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it would be a con-</w:t>
      </w:r>
    </w:p>
    <w:p>
      <w:pPr>
        <w:spacing w:before="4" w:line="200" w:lineRule="exact"/>
        <w:ind w:left="898" w:right="767"/>
        <w:jc w:val="both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tract which, if on the note would pass the title,</w:t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and that for some reason it is inconvenient to write it on the note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.</w:t>
      </w:r>
      <w:r>
        <w:rPr>
          <w:rFonts w:ascii="Symbol" w:hAnsi="Symbol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 xml:space="preserve"> (</w:t>
      </w:r>
      <w:r>
        <w:rPr>
          <w:rFonts w:ascii="Times New Roman" w:hAnsi="Times New Roman"/>
          <w:color w:val="0000FF"/>
          <w:spacing w:val="0"/>
          <w:w w:val="102"/>
          <w:position w:val="0"/>
          <w:sz w:val="18"/>
          <w:szCs w:val="24"/>
          <w:u w:val="single"/>
          <w:vertAlign w:val="baseline"/>
        </w:rPr>
        <w:t xml:space="preserve"> 16 Wis. at p. 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>627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, italics added.) In the present case, no showing of inconvenience was made. Indeed, the trial court found that all that was writ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ten on the allonge would have fit on the promissory note.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4" w:line="138" w:lineRule="exact"/>
        <w:ind w:left="898"/>
        <w:jc w:val="left"/>
        <w:rPr>
          <w:rFonts w:ascii="Times New Roman" w:hAnsi="Times New Roman"/>
          <w:color w:val="000000"/>
          <w:spacing w:val="0"/>
          <w:w w:val="103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12"/>
          <w:szCs w:val="24"/>
          <w:u w:val="none"/>
          <w:vertAlign w:val="baseline"/>
        </w:rPr>
        <w:t>10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0"/>
          <w:w w:val="103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29" w:line="144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Hays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Plummer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(1899) 126 Cal. 107, 110 [58 P. 447]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is cited by plaintiff as supporting the majority position. This is mis-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107" w:space="110"/>
            <w:col w:w="9999" w:space="160"/>
          </w:cols>
        </w:sectPr>
      </w:pPr>
    </w:p>
    <w:p>
      <w:pPr>
        <w:spacing w:before="4" w:line="200" w:lineRule="exact"/>
        <w:ind w:left="898" w:right="733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leading.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Hays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was merely reiterating the California law on allonges as expressed in the Civil Code at that time. The issue at bar in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the present case was not before the court in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Hays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. In that case, a promissory note was assigned by means of a separate written in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strument. The court held that the transferee of the note was not a holder in due course, but only an assignee.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</w:p>
    <w:p>
      <w:pPr>
        <w:spacing w:before="66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0" style="mso-position-horizontal-relative:page;mso-position-vertical-relative:page;position:absolute;z-index:-251594752" from="66.5pt,340.35pt" to="299.65pt,340.35pt" o:allowincell="f" strokecolor="blue" strokeweight="1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1" style="mso-position-horizontal-relative:page;mso-position-vertical-relative:page;position:absolute;z-index:-251580416" from="66.5pt,510.3pt" to="545.45pt,510.3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524"/>
        <w:jc w:val="left"/>
        <w:rPr>
          <w:rFonts w:ascii="Times New Roman" w:hAnsi="Times New Roman"/>
          <w:color w:val="000000"/>
          <w:spacing w:val="0"/>
          <w:w w:val="103"/>
          <w:position w:val="0"/>
          <w:sz w:val="20"/>
          <w:u w:val="none"/>
          <w:vertAlign w:val="baseline"/>
        </w:rPr>
      </w:pPr>
      <w:bookmarkStart w:id="7" w:name="Pg8"/>
      <w:bookmarkEnd w:id="7"/>
      <w:r>
        <w:rPr>
          <w:rFonts w:ascii="Times New Roman" w:hAnsi="Times New Roman"/>
          <w:color w:val="000000"/>
          <w:spacing w:val="0"/>
          <w:w w:val="103"/>
          <w:position w:val="0"/>
          <w:sz w:val="20"/>
          <w:szCs w:val="24"/>
          <w:u w:val="none"/>
          <w:vertAlign w:val="baseline"/>
        </w:rPr>
        <w:t xml:space="preserve">Page 7 of 7 </w:t>
      </w:r>
    </w:p>
    <w:p>
      <w:pPr>
        <w:spacing w:before="10" w:line="230" w:lineRule="exact"/>
        <w:ind w:left="1831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118 Cal. App. 3d 1003, *1010; 173 Cal. Rptr. 747, **751; 1981 Cal. App. LEXIS 1724, ***14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9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661, 663]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198" w:line="259" w:lineRule="exact"/>
        <w:ind w:left="898" w:right="0" w:firstLine="0"/>
        <w:jc w:val="left"/>
        <w:rPr>
          <w:rFonts w:ascii="Times New Roman Bold" w:hAnsi="Times New Roman Bold"/>
          <w:color w:val="000000"/>
          <w:spacing w:val="-5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(1) We conclude that the majority view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of the law merchant relating to allonges is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better reasoned one, and is the view adopted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by the Legislature.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superscript"/>
        </w:rPr>
        <w:t xml:space="preserve"> 11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It follows, then, that the as-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signment by allonge of plaintiff’s </w:t>
      </w:r>
      <w:r>
        <w:rPr>
          <w:rFonts w:ascii="Times New Roman Bold" w:hAnsi="Times New Roman Bold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[*1011]</w:t>
      </w:r>
    </w:p>
    <w:p>
      <w:pPr>
        <w:spacing w:before="1" w:line="259" w:lineRule="exact"/>
        <w:ind w:left="898" w:right="152" w:firstLine="0"/>
        <w:jc w:val="both"/>
        <w:rPr>
          <w:rFonts w:ascii="Times New Roman" w:hAnsi="Times New Roman"/>
          <w:color w:val="000000"/>
          <w:spacing w:val="0"/>
          <w:w w:val="104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promissory note by the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[***15]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Williams to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the defendant was ineffective as an indorse-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4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ment, since there was sufficient space on the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note itself for the indorsement. There having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been no indorsement of the note, the defendant is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 a holder in due course and, therefore,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takes the note subject to the defenses that plain-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 has against the Williams. (§ 3306.) The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judgment is affirmed.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tabs>
          <w:tab w:val="left" w:pos="1212"/>
        </w:tabs>
        <w:spacing w:before="46" w:line="207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-3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2"/>
          <w:sz w:val="12"/>
          <w:szCs w:val="24"/>
          <w:u w:val="none"/>
          <w:vertAlign w:val="baseline"/>
        </w:rPr>
        <w:t xml:space="preserve">11 </w:t>
        <w:tab/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 xml:space="preserve">We have found four Uniform Commercial Code cases that discuss the allonge issue which is presented here. Three of the </w:t>
      </w:r>
    </w:p>
    <w:p>
      <w:pPr>
        <w:spacing w:before="39" w:line="200" w:lineRule="exact"/>
        <w:ind w:left="898" w:right="735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cases state the majority position.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Shepherd Mall St. Bank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 Johnson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 (Okla. 1979) 603 P.2d 1115, 1118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 xml:space="preserve"> Tallahassee Bank &amp; Trust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>Company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Raines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(1972) 125 Ga.App. 263 [187 S.E.2d 320, 321]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James Talcott, Inc.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v.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Fred Ratowsky Associates, Inc., su-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pra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, 2 U.C.C. R.S. at p. 1137.) The fourth case did not decide the issue.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Estrada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 River Oaks Bank &amp; Trust Co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. (Tex.Civ.App. </w:t>
      </w:r>
      <w:r>
        <w:rPr>
          <w:rFonts w:ascii="Times New Roman" w:hAnsi="Times New Roman"/>
          <w:color w:val="0000FF"/>
          <w:spacing w:val="-1"/>
          <w:w w:val="100"/>
          <w:position w:val="0"/>
          <w:sz w:val="18"/>
          <w:szCs w:val="24"/>
          <w:u w:val="single"/>
          <w:vertAlign w:val="baseline"/>
        </w:rPr>
        <w:t>1977) 550 S.W.2d 719, 725</w:t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.)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</w:p>
    <w:p>
      <w:pPr>
        <w:spacing w:before="66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2" style="mso-position-horizontal-relative:page;mso-position-vertical-relative:page;position:absolute;z-index:-251614208" from="66.5pt,661.95pt" to="545.45pt,661.9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sectPr>
      <w:type w:val="continuous"/>
      <w:pgSz w:w="12220" w:h="15820"/>
      <w:pgMar w:top="431" w:right="431" w:bottom="431" w:left="431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Bold">
    <w:charset w:val="00"/>
    <w:family w:val="auto"/>
    <w:pitch w:val="default"/>
  </w:font>
  <w:font w:name="Times New Roman">
    <w:charset w:val="00"/>
    <w:family w:val="auto"/>
    <w:pitch w:val="default"/>
  </w:font>
  <w:font w:name="Verdana">
    <w:charset w:val="00"/>
    <w:family w:val="auto"/>
    <w:pitch w:val="default"/>
  </w:font>
  <w:font w:name="Times New Roman Bold Italic">
    <w:charset w:val="00"/>
    <w:family w:val="auto"/>
    <w:pitch w:val="default"/>
  </w:font>
  <w:font w:name="Symbol">
    <w:charset w:val="00"/>
    <w:family w:val="auto"/>
    <w:pitch w:val="default"/>
  </w:font>
  <w:font w:name="Times New Roman Italic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80"/>
  <w:doNotShadeFormData/>
  <w:characterSpacingControl w:val="doNotCompress"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99" w:defSemiHidden="1" w:defUnhideWhenUsed="1" w:defQFormat="0" w:count="267"/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